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ZD18.008587 vom 4. Januar 2021</w:t>
      </w:r>
    </w:p>
    <w:p>
      <w:r>
        <w:t>VD Tribunal cantonal, 2021-01-04, DE</w:t>
      </w:r>
    </w:p>
    <w:p>
      <w:r>
        <w:rPr>
          <w:b/>
        </w:rPr>
        <w:t xml:space="preserve">Quelle: </w:t>
      </w:r>
      <w:r>
        <w:t>https://mcp.opencaselaw.ch/entscheid/vd_gerichte_ZD18.008587</w:t>
      </w:r>
    </w:p>
    <w:p>
      <w:r>
        <w:t>FR: VD_GERICHTE ZD18.008587 du 4 janvier 2021</w:t>
      </w:r>
    </w:p>
    <w:p>
      <w:r>
        <w:t>IT: VD_GERICHTE ZD18.008587 del 4 gennaio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- 13 -</w:t>
      </w:r>
    </w:p>
    <w:p>
      <w:r>
        <w:rPr>
          <w:b/>
        </w:rPr>
        <w:t>E. 2</w:t>
      </w:r>
    </w:p>
    <w:p>
      <w:r>
        <w:t>Le litige porte en l’espèce sur le droit du recourant à des prestations de l’assurance-invalidité, singulièrement le droit à une rente d’invalidité.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- 14 -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- 15 -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5</w:t>
      </w:r>
    </w:p>
    <w:p>
      <w:r>
        <w:t>En l’espèce, le recourant se plaint du fait que sa capacité de travail a été évaluée de manière erronée par l’intimé. Selon lui, il lui serait quasiment impossible de travailler en raison de son allergie à l’isothiazolinone, qui mettrait sa santé en grand danger. Au demeurant, la problématique d'une intégration professionnelle aurait été mal prise en compte, puisqu’aucun employeur ne prendrait le risque de l’engager en raison de son allergie. a) Les considérations du recourant se heurtent toutefois aux constatations objectives des médecins en charge du dossier, ainsi que de celles du collaborateur de l’U.________. En effet, ces derniers reconnaissent, de façon quasiment unanime, au recourant une capacité de travail entière dans une activité adaptée et respectant ses limitations fonctionnelles, qui consistent à éviter tout contact avec la substance allergène susmentionnée. C’est à ces appréciations qu’il convient en l’occurrence d’accorder la préférence, pour les raisons développées ci- dessous. b) Selon le rapport du 7 janvier 2016 des Drs Q.________ et P.________, ces médecins ont diagnostiqué une réaction allergique aux isothiazolinones avec réactions cutanées et respiratoires. Ce diagnostic est</w:t>
      </w:r>
    </w:p>
    <w:p>
      <w:r>
        <w:t>- 16 - fondé sur une anamnèse complète, tant du point de vue médical que personnel, et d’un examen attentif des symptômes et des plaintes du recourant. Ces médecins ont également rendu compte du diagnostic différentiel du Dr R.________. On rappellera que ce dernier avait établi un rapport du 8 juin 2015 dans lequel il considérait que l’événement du 1er avril 2015 ne correspondait pas à un choc anaphylactique de type III et soulignait la rareté de l’allergie aux isothiazolinones, sans toutefois pouvoir infirmer ou confirmer un tel diagnostic aux vus des circonstances du cas d’espèce et de l’absence de protocole de test. C’est d’ailleurs après avoir largement discuté avec le recourant de la possibilité d’effectuer des investigations spécialisées que, d'un commun accord, il avait été convenu de surseoir à de telles mesures, jugées trop lourdes. C’est sur la base de ces différents éléments que les Drs Q.________ et P.________ ont, d’une part, tiré la conclusion qu’il était plausible que l'application en date du 1er avril 2015 de peinture contenant des isothiazolinones ait été responsable des manifestations cutanées et respiratoires, et, d’autre part, ont confirmé que le test de provocation bronchique spécifique, qui permettrait la confirmation du diagnostic d’allergie aux isothiazolinones, n'était actuellement pas encore disponible en Suisse. Respectant tous les réquisits de clarté, d’exhaustivité, d’objectivité et de motivation de la jurisprudence mentionnée ci-dessus (cf. consid. 4b supra), il convient de reconnaitre une pleine valeur probante au rapport du 7 janvier 2016 des Drs Q.________ et P.________. Il sied donc d’admettre que le recourant souffre de réactions allergiques aux isothiazolinones. Dès lors, on se fiera aux recommandations ressortant du rapport du 7 janvier 2016 des Drs Q.________ et P.________, selon lesquelles le recourant devait éviter tout contact avec des produits contenant des isothiazolinones. On retiendra également que ces médecins n’ont en aucun cas attesté d’une quelconque incapacité de travail, ayant au contraire fourni au recourant des conseils quant aux possibilités d’orientation professionnelle et établi une liste exemplative de différents métiers à éviter, en raison du contact fréquent avec cette substance. Dans</w:t>
      </w:r>
    </w:p>
    <w:p>
      <w:r>
        <w:t>- 17 - le même sens, on observe que le collaborateur de l’U.________ a relevé dans son rapport du 13 octobre 2017 qu’ayant pris contact avec la Dre P.________, celle-ci lui avait confirmé que le recourant pourrait travailler dans divers secteurs, tels que la logistique, les métiers de bureau ou la vente. c) Concernant le rapport du 24 octobre 2017 du Dr C.________, brièvement motivé, ce médecin y a notamment joint les rapports du 7 janvier 2016 des Drs Q.________ et P.________ et du 8 juin 2015 du Dr R.________, confirmant avoir pris connaissance du dossier médical du recourant. Le rapport en question n'est par ailleurs empreint d'aucune contradiction et confirme le diagnostic de réactions allergiques aux isothiazolinones avec manifestations cutanées et respiratoires. Enfin, il mentionne clairement les limitations fonctionnelles à prendre en compte, ainsi que la capacité de travail résiduelle complète dans une activité adaptée. Ce rapport, qui ne prête le flanc à aucune critique, emporte conviction. d) Par conséquent, il y a lieu de retenir que la capacité de travail du recourant reste entière dans une activité adaptée, à savoir dans un emploi sans contact avec l’allergène en question, comme cela ressort du reste des rapports circonstanciés des 26 juillet et 13 octobre 2017 sur les mesures d’intervention précoce, établis par le collaborateur de l’U.________, qui fait état de nombreux secteurs d'activités compatibles avec l'allergie du recourant. Dans ces circonstances, le recourant voit son droit à une rente d’invalidité refusé, n’étant pas invalide à 40 % au moins, à l’échéance du délai d’une année de l’art. 28 al. 1 LAI.</w:t>
      </w:r>
    </w:p>
    <w:p>
      <w:r>
        <w:rPr>
          <w:b/>
        </w:rPr>
        <w:t>E. 6</w:t>
      </w:r>
    </w:p>
    <w:p>
      <w:r>
        <w:t>a) Eu égard à ce qui précède, le recours déposé le 27 février 2018 par D.________ est rejeté et la décision entreprise rendue le 25 janvier 2018 par l’Office de l'assurance-invalidité pour le canton de Vaud est confirmée.</w:t>
      </w:r>
    </w:p>
    <w:p>
      <w:r>
        <w:t>- 18 - b) En dérogation à l’art. 61 let. a LPGA (état au 31 décembre 2020),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n’étant pas représenté par un mandataire professionnel et n’obtenant pas gain de cause (art. 61 let. g LPGA). Par ces motifs, la Cour des assurances sociales p r o n o n c e : I. Le recours est rejeté. II. La décision rendue le 25 janvier 2018 par l’Office de l'assurance-invalidité pour le canton de Vaud est confirmée. III. Les frais de justice sont fixés à 400 fr. (quatre cents francs) et sont mis à la charge de D.________. IV. Il n’est pas alloué de dépens.</w:t>
      </w:r>
    </w:p>
    <w:p>
      <w:r>
        <w:t>- 19 - Le président : La greffière : Du L'arrêt qui précède, dont la rédaction a été approuvée à huis clos, est notifié à : -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