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ZD18.007455 vom 22. November 2019</w:t>
      </w:r>
    </w:p>
    <w:p>
      <w:r>
        <w:t>VD Tribunal cantonal, 2019-11-22, FR</w:t>
      </w:r>
    </w:p>
    <w:p>
      <w:r>
        <w:rPr>
          <w:b/>
        </w:rPr>
        <w:t xml:space="preserve">Quelle: </w:t>
      </w:r>
      <w:r>
        <w:t>https://mcp.opencaselaw.ch/entscheid/vd_gerichte_ZD18.007455</w:t>
      </w:r>
    </w:p>
    <w:p>
      <w:r>
        <w:t>FR: VD_GERICHTE ZD18.007455 du 22 novembre 2019</w:t>
      </w:r>
    </w:p>
    <w:p>
      <w:r>
        <w:t>IT: VD_GERICHTE ZD18.007455 del 22 novembre 2019</w:t>
      </w:r>
    </w:p>
    <w:p>
      <w:pPr>
        <w:pStyle w:val="Heading2"/>
      </w:pPr>
      <w:r>
        <w:t>Erwägungen</w:t>
      </w:r>
    </w:p>
    <w:p>
      <w:r>
        <w:rPr>
          <w:b/>
        </w:rPr>
        <w:t>E. 30</w:t>
      </w:r>
    </w:p>
    <w:p>
      <w:r>
        <w:t>janvier 2013 pour lui communiquer ses doutes quant à la persistance des troubles ayant initialement motivé l’octroi de prestations d’assurance. Fort de cette information, l’intimé a interpellé le Dr M.________, puis a maintenu le droit à la rente par décision du 31 juillet 2013. Par la suite, l’OAI a été régulièrement tenu au courant des mesures d’investigation entreprises par l’assureur-accidents, sans pour autant mettre en œuvre de son côté une quelconque autre mesure ni se joindre aux démarches entreprises par N.________. Ce n’est qu’après réception du rapport d’expertise du Dr S.________ du 11 octobre 2013 et du rapport de surveillance du 15 octobre 2013 que l’intimé s’est associé à l’assureur- accidents pour la mise en œuvre de l’expertise psychiatrique confiée au Dr P.________. Sur la base des informations ainsi récoltées, l’intimé a décidé en 2015 qu’une amélioration de l’état de santé de l’assurée,</w:t>
      </w:r>
    </w:p>
    <w:p>
      <w:r>
        <w:t>- 23 - respectivement l’exigibilité de l’exercice d’une activité lucrative à plein temps, pouvait être retenue à partir de l’expertise réalisée en octobre 2013 par le Dr S.________ sur mandat de N.________. Le 23 juin 2015, l’intimé a finalement suspendu le droit à la rente par voie de mesures préprovisionnelles, soit moins de trois mois avant la décision au fond. Compte tenu de ce qui précède, on ne voit pas en quoi une annonce de la part de l’assurée aurait pu modifier la position adoptée par l’OAI, dont l’absence de réaction a pu créer la confusion dans l’esprit de la recourante. A la date déterminante où on aurait pu attendre de l'assurée qu'elle annonce spontanément à l’intimé une amélioration de son état de santé, l’intéressée faisait déjà l’objet d’une surveillance et d’une expertise sur mandats de l’assureur-accidents en raison de doutes qui avaient été communiqués à l’intimé. Partant, on ne saurait admettre de lien de causalité entre la violation de l’obligation d’annoncer et les prestations touchées à tort. Il suit de là que la suppression de la rente ne peut pas intervenir rétroactivement au sens de l’art. 88bis al. 2 let. b aRAI applicable au cas d’espèce et que l’office intimé n’était par conséquent pas fondé à prononcer la suppression de cette prestation à compter du 1er octobre 2013. d) L’amélioration de l’état de santé retenue ayant perduré au- delà de trois mois sans crainte d’une complication prochaine (cf. art. 88a al. 1 RAI), c’est bien en application de l’art. 88bis al. 2 let. a RAI que la révision de la rente d’invalidité doit intervenir, autrement dit avec effet au premier jour du deuxième mois qui suit la notification de la décision du 9 septembre 2015, soit au 1er novembre 2015. 8. Reste à examiner le degré d'invalidité de la recourante. a)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w:t>
      </w:r>
    </w:p>
    <w:p>
      <w:r>
        <w:t>- 24 -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b) S’agissant du revenu sans invalidité, il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w:t>
      </w:r>
    </w:p>
    <w:p>
      <w:r>
        <w:t>- 25 -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9. a) En l’occurrence, le moment déterminant pour procéder à la comparaison des revenus est 2015, au vu des développements ci-dessus (cf. consid. 7b in fine). b) Pour établir le revenu sans invalidité, on doit prendre considération un revenu hypothétique de 55'327 fr. (4'249 fr. x 13), correspondant à celui réalisé par la recourante en 1997 selon le rapport employeur figurant au sein du dossier, lequel doit encore être adapté à l'évolution des salaires nominaux en 2015, de sorte que le revenu sans invalidité doit être fixé à 68'330 francs. c) Pour fixer le revenu avec invalidité, dans la mesure où l’activité d’aide de maison n’est pas adaptée et que la recourante doit rechercher une activité adaptée à ses limitations fonctionnelles, il convient de procéder à une approche théorique de la capacité de gain. A cet égard, le salaire médian réalisé par les femmes en 2014, dans des activités simples et répétitives, était de 4'300 fr. par mois, soit 51'600 fr. par</w:t>
      </w:r>
    </w:p>
    <w:p>
      <w:r>
        <w:t>- 26 - année. Après adaptation à la durée hebdomadaire moyenne du travail dans les entreprises en 2015 (41,7 heures) ainsi qu'à l'évolution des salaires nominaux entre 2014 et 2015 (+ 0,8 %), on parvient à un salaire annuel de 54'008 francs. Afin de tenir compte de l’ensemble des circonstances personnelles et professionnelles susceptibles d’influer sur les perspectives salariales de la recourante, il y aurait lieu de procéder à un abattement maximum de 10 % sur le salaire statistique, étant précisé que les limitations fonctionnelles de la recourante ne sont pas particulièrement contraignantes et que les activités visées par l’ESS recouvrent un large éventail d’activités variées et non qualifiées. Au final, on obtient un revenu annuel d’invalide de 48'607 fr.</w:t>
      </w:r>
    </w:p>
    <w:p>
      <w:r>
        <w:rPr>
          <w:b/>
        </w:rPr>
        <w:t>E. 35</w:t>
      </w:r>
    </w:p>
    <w:p>
      <w:r>
        <w:t>Après comparaison avec le revenu hypothétique sans invalidité, il en résulte un taux d'invalidité de 28,86 %, arrondi à 29 %, insuffisant pour ouvrir le droit à une rente (cf. art. 28 al. 2 LAI). d) Il se justifie par conséquent de supprimer la rente de la recourante avec effet au 1er novembre 2015. 10. a) Au vu de ce qui précède, le recours doit être partiellement admis et la décision attaquée réformée en ce sens que la rente d’invalidité de la recourante est supprimée avec effet au 1er novembre 2015. b) En dérogation à l'art. 61 let. a LPGA, la procédure de recours en matière de contestations portant sur l'octroi ou le refus de prestations de l'assurance-invalidité devant le tribunal cantonal des assurances est soumise à des frais judiciaires (art. 69 al. 1bis LAI). En l’espèce, les frais de justice doivent être arrêtés à 400 fr. et être mis par 200 fr. à la charge de l’office intimé et par 200 fr. à la charge de la recourante. c) La recourante, qui obtient partiellement gain de cause avec l'assistance d’un mandataire professionnel, a droit à des dépens réduits, qu'il convient de fixer à 2’000 fr. pour l’ensemble de la procédure cantonale (art. 61 let. g LPGA, art. 10 et 11 TFJDA [tarif du 28 avril 2015</w:t>
      </w:r>
    </w:p>
    <w:p>
      <w:r>
        <w:t>- 27 - des frais judiciaires et des dépens en matière administrative ; RSV 173.36.5.1]). Le montant des dépens sera mis à charge de l’intimé. d) La recourante a été mise au bénéfice de l’assistance judiciaire selon décision du 14 octobre 2015, dans le cadre de la procédure AI 273/15 – 90/2017, l’exonérant de l’avance de frais et lui désignant, en qualité d’avocat d’office, Me Yvan Henzer. Ce dernier, qui n’est plus intervenu au terme de la procédure précitée, avait renoncé à faire valoir des honoraires et débours supplémentaires à ceux requis dans le cadre de la procédure parallèle AA 80/15 – 26/2017. Dans cette mesure, la Cour de céans avait, à juste titre, renoncé à fixer une indemnité dans le cadre de la procédure AI 273/15 – 90/2017. Pour le surplus, Me Gillard, qui a succédé à Me Henzer, n’a pas sollicité sa désignation en qualité d’avocat d’office.</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