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ZD18.005902 vom 17. Mai 2019</w:t>
      </w:r>
    </w:p>
    <w:p>
      <w:r>
        <w:t>VD Tribunal cantonal, 2019-05-17, FR</w:t>
      </w:r>
    </w:p>
    <w:p>
      <w:r>
        <w:rPr>
          <w:b/>
        </w:rPr>
        <w:t xml:space="preserve">Quelle: </w:t>
      </w:r>
      <w:r>
        <w:t>https://mcp.opencaselaw.ch/entscheid/vd_gerichte_ZD18.005902</w:t>
      </w:r>
    </w:p>
    <w:p>
      <w:r>
        <w:t>FR: VD_GERICHTE ZD18.005902 du 17 mai 2019</w:t>
      </w:r>
    </w:p>
    <w:p>
      <w:r>
        <w:t>IT: VD_GERICHTE ZD18.005902 del 17 maggio 2019</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w:t>
      </w:r>
    </w:p>
    <w:p>
      <w:r>
        <w:t>- 13 -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w:t>
      </w:r>
    </w:p>
    <w:p>
      <w:r>
        <w:rPr>
          <w:b/>
        </w:rPr>
        <w:t>E. 5</w:t>
      </w:r>
    </w:p>
    <w:p>
      <w:r>
        <w:t>En l’espèce, par décision du 9 janvier 2018, l’OAI a considéré que la capacité de travail de la recourante était désormais totale dans une activité adaptée et a supprimé la rente entière qui lui avait été allouée depuis le 1er août 2013 par décision du 18 février 2016. Il convient ainsi d’examiner si le degré d’invalidité de l’assurée a subi une modification significative entre ces deux décisions. a) Pour rendre la décision du 18 février 2016, l’OAI s’est fondé sur le rapport d’expertise du 17 juillet 2015 du Dr R.________. Celui-ci retenait notamment un syndrome douloureux régional complexe du membre supérieur droit et estimait qu’au vu de la quasi impossibilité d’utiliser ce membre et du faible rendement global, seule une activité d’ordre occupationnel était réalisable. Il recommandait de procéder à une nouvelle expertise dans un délai de deux ans. b) Après s’être vu transmettre par Z.________ le rapport du 6 avril 2016 du Dr N.________, l’OAI a mis en œuvre une expertise auprès du B.________. Dans leur rapport du 26 juillet 2017, les experts ont constaté</w:t>
      </w:r>
    </w:p>
    <w:p>
      <w:r>
        <w:t>- 14 - que seul le diagnostic d’omalgie droite avait une répercussion sur la capacité de travail, laquelle était entière dans une activité adaptée, après une reprise progressive de six semaines. La recourante soutient que cette expertise n’a pas de valeur probante. Toutefois, le fait que l’OAI l’a mise sur pied au vu des conclusions du Dr N.________ – qui a été mandaté par l’assureur-accidents pour se prononcer sur les conséquences de la chute du 11 janvier 2012 – n’entache en rien sa valeur probante. En effet, les experts du B.________ se sont forgés leur propre opinion, après avoir examiné l’intéressée et l’entier du dossier. A cet égard, il sied de relever qu’ils ont également eu connaissance du rapport d’ergothérapie du 18 avril 2017, contrairement à ce que fait valoir l’assurée, puisqu’ils l’ont cité et ont repris une partie de son contenu, comme ils l’ont fait pour les autres pièces médicales du dossier (cf. p. 19). Les experts ont ainsi détaillé avec précision l’anamnèse. Ils ont en outre décrit les plaintes de l’assurée, qu’ils ont prises en considération. Cette dernière n'a pas évoqué que sa main droite était régulièrement gonflée, mais cela ressort du rapport d'ergothérapie précité. L'assurée s’étonne que les experts aient relevé, sous le volet psychiatrique relatif à ses plaintes actuelles, ses déclarations en rapport avec certaines atteintes physiques (cf. p. 22). Même si cela peut effectivement paraître curieux, les experts ont exposé par la suite que sur le plan psychique, l’assurée n’avait allégué aucune plainte particulière, outre le fait qu’elle se disait par moments démoralisée par rapport à son état, mais qu’elle était en revanche très centrée sur lesdites atteintes physiques (cf. p. 35). Les experts ont décrit le contexte médical de manière claire et ont détaillé les raisons pour lesquelles ils considéraient qu’un éventuel syndrome douloureux régional complexe du membre supérieur droit était guéri. Ils ont en effet constaté à l’examen qu’il n’y avait aucun signe vaso- moteur ou sudo-moteur (pas d’hypersudation), de dystrophie, d’atrophie musculaire, de rétraction capsulaire ou de déficit neurologique. Il n’y avait pas non plus de limitation à la mobilité passive. Quant à la mobilité active, il sied de relever que celle de l'épaule droite s’est améliorée depuis</w:t>
      </w:r>
    </w:p>
    <w:p>
      <w:r>
        <w:t>- 15 - l’expertise du Dr R.________, puisque les experts du B.________ ont fait état d'une abduction à 90° alors qu’elle était de seulement 25° en 2015. Les experts n’ont pas observé de signes objectifs de non-utilisation. Sur la base de l’ensemble de ces éléments et des examens complémentaires multiples (scintigraphie, imageries par résonance magnétique) décrits comme normaux, ils ont conclu que les douleurs dont se plaignait l’assurée ne pouvaient être expliquées objectivement. Ils ont évoqué l’existence d’un syndrome douloureux chronique (cf. consid. 6 infra), avant de relever que l’épaule droite avait été l’objet de plusieurs traumatismes, ce qui pouvait entraîner des douleurs résiduelles justifiant de retenir des limitations au niveau du membre supérieur droit. Ils ont énuméré l'ensemble de ces limitations. Quant à la nouvelle atteinte au membre inférieur gauche, soit la cruralgie, les experts ont notamment relevé l’absence de lésion anatomique visible à l’imagerie et un bilan neurologique normal, et estimé qu’elle pouvait également entrer dans le cadre d’un syndrome douloureux chronique. S'agissant des limitations en lien avec ce trouble, ils ont mentionné qu’une activité avec une position assise était privilégiée, puisqu’elle avait pu être maintenue pendant plus de 90 minutes par l’assurée. Le fait que les experts n’ont pas repris cette limitation-ci dans le cadre de leurs réponses aux questions posées par l'OAI n’est pas suffisant pour dénier toute valeur probante à leur rapport. Au contraire, sur le plan somatique, ils ont conclu de manière convaincante à une capacité de travail totale dans une activité adaptée, avec une reprise progressive, soit à 50 % pendant les six premières semaines. Ils ont expliqué ce pallier en raison d’une possible diminution de rendement au début de la reprise dû aux douleurs. Il s’agit ainsi d’une période transitoire de réadaptation au travail. Ils ont certes admis que des douleurs résiduelles pouvaient subsister, sans toutefois considérer qu’elles engendraient une diminution de la capacité de travail dans une activité adaptée passé ce délai transitoire. Au vu de ce qui précède, il convient de se rallier à leurs conclusions, lesquelles sont bien motivées et concordent avec les examens complémentaires décrits comme normaux. Ces conclusions ont au demeurant été confirmées par le Dr C.________ (cf. avis du 29 août 2017).</w:t>
      </w:r>
    </w:p>
    <w:p>
      <w:r>
        <w:t>- 16 - Les autres documents médicaux figurant au dossier ne sont pas de nature à remettre en cause l’appréciation des experts du B.________. En particulier, dans le rapport du 22 mai 2018 que la recourante a produit dans la présente procédure, le Dr W.________ n’explique pas en quoi, selon lui, les signes du syndrome douloureux régional complexe subsistaient. Il fait état d'une impossibilité pour sa patiente d'effectuer toute tâche nécessitant une sollicitation du membre supérieur droit, alors que les experts n'ont pas relevé de signes objectifs de non-utilisation de ce membre, ce qui tend à démontrer que la recourante en fait quand même usage. Le Dr W.________ mentionne par ailleurs que les douleurs au membre inférieur gauche empêchent l’assurée de rester dans une position assise prolongée, ce qui rend d’après lui une reprise de travail encore plus difficilement réalisable. Cependant, les experts ont observé que la recourante pouvait demeurer dans cette position plus de 90 minutes. Il existe au demeurant de nombreuses possibilités d’activités permettant l’alternance des positions debout et assise ou privilégiant une position assise. Quant au rapport du 18 avril 2017 de K.________, il sied de constater que cette dernière n’est pas médecin, mais ergothérapeute, et que les Drs J.________ et F.________, neurologues, n’ont pas confirmé d’atteinte neurologique des nerfs périphériques, telle que suggérée par K.________. Au demeurant, les limitations fonctionnelles décrites par les experts du B.________ englobent les différents éléments relevés par l’ergothérapeute, tant au niveau du membre supérieur droit que du membre inférieur gauche. Enfin, le rapport du 30 novembre 2016 de la Dresse Q.________, médecin généraliste traitant, est peu étayé. Cette dernière n’est en outre pas spécialiste et ne fait pas état d'éléments objectivement vérifiables qui auraient été ignorés dans le cadre de l'expertise et qui seraient suffisamment pertinents pour remettre en cause le bien-fondé des conclusions des experts ou en établir le caractère incomplet. Dans ces conditions, force est de retenir que la recourante présente une capacité de travail totale dans une activité adaptée à ses limitations fonctionnelles somatiques.</w:t>
      </w:r>
    </w:p>
    <w:p>
      <w:r>
        <w:t>- 17 -</w:t>
      </w:r>
    </w:p>
    <w:p>
      <w:r>
        <w:rPr>
          <w:b/>
        </w:rPr>
        <w:t>E. 6</w:t>
      </w:r>
    </w:p>
    <w:p>
      <w:r>
        <w:t>Sur le plan psychique, les experts du B.________ ont également constaté une pleine capacité de travail.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b) En l’occurrence, sur le plan psychique également, l’expertise du B.________ fait suite à un entretien avec l’assurée, comporte notamment une anamnèse, une appréciation de la situation médicale et des conclusions motivées. Les experts ont décrit que l’assurée était plutôt équilibrée sur le plan émotionnel, sans signaux d’un quelconque dysfonctionnement et qu’il n’y avait aucune problématique de personnalité. Ils n’ont formellement retenu aucun diagnostic psychiatrique, même s’ils ont évoqué la possibilité d’un syndrome douloureux chronique. A cet égard, il sied de relever qu’ils ont fait part de leur étonnement par un certain décalage entre l’intensité des symptômes physiques décrits par l’assurée et les observations effectuées lors de l’examen, comme l’avait déjà souligné le Dr N.________. Les experts du B.________ ont eu une forte impression d’une amplification des symptômes</w:t>
      </w:r>
    </w:p>
    <w:p>
      <w:r>
        <w:t>- 18 - pour des raisons probablement sociales, l’intéressée étant dans une vision personnelle d’invalide physique. Au demeurant, celle-ci ne présente aucun trouble de la personnalité et dispose de bonnes ressources externes, notamment avec la présence de son fils adulte à ses côtés. Le dossier ne contient aucun élément pouvant remettre en question la capacité totale de travail constatée par les experts sur le plan psychique. Par conséquent, c’est à bon droit que l’intimé a considéré que l’état de santé de l’assurée s’était amélioré depuis la dernière décision d’octroi de prestations, puisqu’elle est dispose désormais d’une pleine capacité de travail dans une activité adaptée.</w:t>
      </w:r>
    </w:p>
    <w:p>
      <w:r>
        <w:rPr>
          <w:b/>
        </w:rPr>
        <w:t>E. 7</w:t>
      </w:r>
    </w:p>
    <w:p>
      <w:r>
        <w:t>Il convient encore d’examiner le préjudice économique subi par la recourante.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établir le revenu que l’assuré pourrait réaliser malgré les atteintes à la santé dont il souffre (revenu d’invalide), la jurisprudence admet de se référer, à certaines conditions, aux données statistiques de l’Enquête suisse sur la structure des salaires (ci-après : ESS), publiée par l’Office fédéral de la statistique, lorsque l’assuré n’a pas repris d’activité lucrative dans une profession adaptée (ATF 129 V 472 consid. 4.2.1 ; TF 9C_900/2009 du 27 avril 2010 consid. 3.3). Par ailleurs, l’assuré peut, selon sa situation personnelle, voir ses perspectives salariales être</w:t>
      </w:r>
    </w:p>
    <w:p>
      <w:r>
        <w:t>- 19 - réduites par des facteurs tels que l’âge ou le handicap. Une évaluation globale des effets de ces circonstances sur le revenu d’invalide est nécessaire. La jurisprudence admet de procéder à une déduction de 25 % au maximum pour en tenir compte (ATF 126 V 75). b) En l’espèce, l’OAI a retenu à juste titre que le moment déterminant pour la comparaison des revenus est l’année 2016, soit lorsque l’état de santé de la recourante s’est amélioré. S’agissant du revenu sans invalidité, l’assurée ne conteste pas le montant de base fixé par l’intimé (47'025 fr. 09 en 2014), lequel n'est pas critiquable, mais uniquement l’indexation qu’il a effectuée afin de prendre en compte l’évolution des salaires entre 2015 et 2016. Effectivement, l’indexation pour ces années, pour les femmes, est de + 0.5 %, respectivement + 0.8 %, ce qui aboutit à un revenu sans invalidité de 47'638 fr. 30 au lieu de 47'543 fr. 68 (ATF 129 V 408). Quant au revenu d’invalide, dès lors que la recourante n’a pas repris d’activité lucrative dans une activité adaptée et ne dispose pas de formation professionnelle, il doit être déterminé selon les données statistiques de l’ESS en se référant au revenu mensuel brut pour une activité simple et répétitive. Le salaire mensuel retenu par l'ESS 2014 à ce titre pour les femmes s'élève à 4'300 fr., part au 13ème salaire comprise (ESS 2014, TA1, niveau de qualification 1). Ce salaire doit toutefois être adapté compte tenu du fait que les salaires bruts standardisés se basent sur un horaire de travail de quarante heures, soit une durée hebdomadaire inférieure à celle prévalant dans les entreprises en 2016, à savoir 41,7 heures (La Vie économique, tableau B 9.2). Le revenu sans invalidité, sur la base de l’ESS, s’élève ainsi à 4'482 fr. 75 par mois (4’300 fr. x 41,7 : 40 heures), correspondant à un montant de 53'793 fr. par année. Ce revenu doit encore être adapté à l’évolution des salaires nominaux de 2014 à 2016, ce qui conduit à un gain annuel de 54'494 fr. 46 (+ 0.5 % en 2015, + 0.8 % en 2016). Dans la décision attaquée, l’intimé a opéré un abattement de 10 % en raison des limitations fonctionnelles de l’assurée. Ce taux tient suffisamment compte de ces différentes limitations et</w:t>
      </w:r>
    </w:p>
    <w:p>
      <w:r>
        <w:t>- 20 - pourrait également inclure celles dont se prévaut la recourante en rapport avec un gonflement régulier de sa main droite. Il convient donc de confirmer ce taux, de sorte que le revenu d’invalide s’élève à 49'045 francs. Au demeurant, une déduction supérieure, de 15 %, ne permettrait quoi qu’il en soit pas à la recourante de conserver son droit à une rente d’invalidité. Il résulte de la comparaison des revenus avec et sans invalidité une incapacité de gain nulle, insuffisante pour maintenir le droit de l’assurée à une rente (cf. art. 28 al. 2 LAI ; consid. 7a supra). Ainsi, sa situation a connu une amélioration notable et durable justifiant une révision, soit la suppression de la rente entière à partir du 1er mars 2018. Cette date correspond au premier jour du deuxième mois suivant la notification de la décision litigieuse du 9 janvier 2018 (cf. art. 88a al. 1 et 88bis al. 2 let. a RAI ; consid. 3b supra).</w:t>
      </w:r>
    </w:p>
    <w:p>
      <w:r>
        <w:rPr>
          <w:b/>
        </w:rPr>
        <w:t>E. 8</w:t>
      </w:r>
    </w:p>
    <w:p>
      <w:r>
        <w:t>a) En définitive,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w:t>
      </w:r>
    </w:p>
    <w:p>
      <w:r>
        <w:t>- 21 - En l'espèce, compte tenu de l'ampleur de la procédure, les frais de justice doivent être fixés à 400 fr. et devraient être mis à la charge de la recourante, qui succombe (art. 69 al. 1bis LAI et 49 al. 1 LPA-VD). Toutefois, dès lors que cette dernière est au bénéfice de l'assistance judiciaire, ces frais sont laissés provisoirement à la charge de l'Etat. Il n'y a pour le surplus pas lieu d'allouer de dépens, la recourante n'obtenant pas gain de cause (art. 55 al. 1 LPA-VD et 61 let. g LPGA). La recourante bénéficie en outre, au titre de l'assistance judiciaire, de la commission d'office d'un avocat en la personne de Me Karim Hichri (art. 118 al. 1 let. c CPC, applicable par renvoi de l'art. 18 al. 5 LPA-VD). Ce dernier ayant renoncé à déposer la liste de ses opérations, la Cour de céans statue en équité et fixe l’indemnité d’office à 1'500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