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ZD18.004617 vom 10. Mai 2019</w:t>
      </w:r>
    </w:p>
    <w:p>
      <w:r>
        <w:t>VD Tribunal cantonal, 2019-05-10, FR</w:t>
      </w:r>
    </w:p>
    <w:p>
      <w:r>
        <w:rPr>
          <w:b/>
        </w:rPr>
        <w:t xml:space="preserve">Quelle: </w:t>
      </w:r>
      <w:r>
        <w:t>https://mcp.opencaselaw.ch/entscheid/vd_gerichte_ZD18.004617</w:t>
      </w:r>
    </w:p>
    <w:p>
      <w:r>
        <w:t>FR: VD_GERICHTE ZD18.004617 du 10 mai 2019</w:t>
      </w:r>
    </w:p>
    <w:p>
      <w:r>
        <w:t>IT: VD_GERICHTE ZD18.004617 del 10 maggio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remise de l’obligation de restituer un montant de 11’231 fr. (7'828 fr. selon l’arrêt de la Cour de céans du 16 décembre 2016 et 3'403 fr. selon la décision de l’OAI du 19 septembre 2017).</w:t>
      </w:r>
    </w:p>
    <w:p>
      <w:r>
        <w:t>- 11 -</w:t>
      </w:r>
    </w:p>
    <w:p>
      <w:r>
        <w:rPr>
          <w:b/>
        </w:rPr>
        <w:t>E. 3</w:t>
      </w:r>
    </w:p>
    <w:p>
      <w:r>
        <w:t>a) Selon l’art. 25 al. 1 LPGA,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c)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w:t>
      </w:r>
    </w:p>
    <w:p>
      <w:r>
        <w:rPr>
          <w:b/>
        </w:rPr>
        <w:t>E. 4</w:t>
      </w:r>
    </w:p>
    <w:p>
      <w:r>
        <w:t>a) En l’espèce, il est établi que le recourant s’est vu notifier le</w:t>
      </w:r>
    </w:p>
    <w:p>
      <w:r>
        <w:rPr>
          <w:b/>
        </w:rPr>
        <w:t>E. 5</w:t>
      </w:r>
    </w:p>
    <w:p>
      <w:r>
        <w:t>a) Au vu de ce qui précède, le recours est partiellement admis et la décision attaquée réformée, en ce sens que la remise de l’obligation de restituer le montant de 4'459 fr. est accordée, la demande de remise étant rejetée pour le surplus. b) Il n’y a pas lieu de percevoir des frais de justice (art. 61 let. a LPGA), la procédure ne portant pas sur l’octroi ou le refus de prestations d’assurance au sens de l’art. 69 al. 1bis LAI (cf. ATF 122 V 221 et ATF 112 V 97 c. 1b). c) Le recourant, qui obtient partiellement gain de cause avec l’assistance d’un mandataire professionnel, peut prétendre une indemnité de dépens à la charge de l’intimé (art. 61 let. g LPGA). Il convient de fixer cette indemnité à 1’600 francs. d) La demande d’assistance judiciaire, limitée aux frais de procédure, est sans objet.</w:t>
      </w:r>
    </w:p>
    <w:p>
      <w:r>
        <w:t>- 17 - Par ces motifs, le juge unique p r o n o n c e : I. La demande d’assistance judiciaire est sans objet. II. Le recours est partiellement admis. III. La décision rendue le 12 décembre 2017 par l’Office de l’assurance-invalidité pour le canton de Vaud est réformée en ce sens que la remise de l’obligation de restituer un montant de 4’675 fr. (quatre mille six cent septante-cinq francs) est accordée. La demande de remise est rejetée pour le surplus. IV. Il n’est pas perçu de frais de justice. V. L’Office de l’assurance-invalidité pour le canton de Vaud versera à C.N.________ une indemnité de dépens de 1’600 fr. (mille six cents francs). Le juge unique : La greffière : Du L'arrêt qui précède est notifié à : - Procap (pour le recourant),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