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ZD18.003770 vom 7. Mai 2018</w:t>
      </w:r>
    </w:p>
    <w:p>
      <w:r>
        <w:t>VD Tribunal cantonal, 2018-05-07, FR</w:t>
      </w:r>
    </w:p>
    <w:p>
      <w:r>
        <w:rPr>
          <w:b/>
        </w:rPr>
        <w:t xml:space="preserve">Quelle: </w:t>
      </w:r>
      <w:r>
        <w:t>https://mcp.opencaselaw.ch/entscheid/vd_gerichte_ZD18.003770</w:t>
      </w:r>
    </w:p>
    <w:p>
      <w:r>
        <w:t>FR: VD_GERICHTE ZD18.003770 du 7 mai 2018</w:t>
      </w:r>
    </w:p>
    <w:p>
      <w:r>
        <w:t>IT: VD_GERICHTE ZD18.003770 del 7 maggio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formé en temps utile compte tenu des féries d’hiver (art. 38 al. 4 let. c et 60 al. 1 LPGA) et dans le</w:t>
      </w:r>
    </w:p>
    <w:p>
      <w:r>
        <w:t>- 5 - respect des formalités prévues par la loi (art. 61 let. b LPGA notamment), de sorte qu’il est recevable.</w:t>
      </w:r>
    </w:p>
    <w:p>
      <w:r>
        <w:rPr>
          <w:b/>
        </w:rPr>
        <w:t>E. 2</w:t>
      </w:r>
    </w:p>
    <w:p>
      <w:r>
        <w:t>L’objet du litige porte sur le droit du recourant à des prestations d’assurance-invalidité, plus particulièrement le droit à une rente d’invalidité à la suite de la nouvelle demande de prestations qu’il a déposée le 10 septembre 2014.</w:t>
      </w:r>
    </w:p>
    <w:p>
      <w:r>
        <w:rPr>
          <w:b/>
        </w:rPr>
        <w:t>E. 2.2</w:t>
      </w:r>
    </w:p>
    <w:p>
      <w:r>
        <w:t>;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9C_435/2013 du 27 septembre 2013 consid. 5.1 ; TFA I 490/03 du 25 mars 2004 consid. 3.2).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w:t>
      </w:r>
    </w:p>
    <w:p>
      <w:r>
        <w:t>- 7 - resté en soi le même, mais que ses conséquences sur la capacité de gain ont subi un changement important. Une simple appréciation différente d'un état de fait, qui, pour l'essentiel, est demeuré inchangé n'appelle en revanche pas à une révision au sens de l'art. 17 LPGA (ATF 133 V 108 consid. 5 ; 130 V 343 consid. 3.5 p. 349 ; 125 V 368 consid. 2 ; TF 9C_818/2015 du 22 mars 2016 consid. 2.2). c) En l'occurrence, l’OAI est entré en matière sur la deuxième demande de prestations déposée le 10 septembre 2014, qu’il a rejetée par décision du 12 décembre 2017 déniant le droit de l’assuré à des prestations de l’assurance-invalidité. Il convient dès lors d’examiner si c’est à bon droit que ce refus a été prononcé. En d’autres termes, il s’agit de déterminer si, entre la dernière décision de refus de prestations entrée en force – soit la décision du 24 avril 2013– et la décision litigieuse, l’état de santé du recourant s’est modifié de façon à influencer son droit à des prestations de l’assurance-invalidité.</w:t>
      </w:r>
    </w:p>
    <w:p>
      <w:r>
        <w:rPr>
          <w:b/>
        </w:rPr>
        <w:t>E. 3</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- 6 - b)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w:t>
      </w:r>
    </w:p>
    <w:p>
      <w:r>
        <w:t>- 8 -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w:t>
      </w:r>
    </w:p>
    <w:p>
      <w:r>
        <w:rPr>
          <w:b/>
        </w:rPr>
        <w:t>E. 5</w:t>
      </w:r>
    </w:p>
    <w:p>
      <w:r>
        <w:t>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w:t>
      </w:r>
    </w:p>
    <w:p>
      <w:r>
        <w:t>- 9 -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arrêts cités ; voir également TF 9C_395/2007 du 15 avril 2008 consid. 2.2).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9C_395/2007 précité consid. 2.4 et les références).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consid. 3). b) Pour statuer sur les prétentions de l'assuré dans le cadre de la première procédure de l'assurance-invalidité, l'OAI s'était fondé sur le rapport du Dr M.________ du 21 novembre 2012. Ce médecin avait diagnostiqué, outre les dépendances, un trouble dépressif récurrent, estimant néanmoins que l'assuré présentait une pleine capacité de travail, sous réserve d'une reprise progressive de l'activité.</w:t>
      </w:r>
    </w:p>
    <w:p>
      <w:r>
        <w:t>- 10 - A l'appui de sa nouvelle demande, le recourant a produit un rapport médical du 3 septembre 2014 établi par la Dresse J.________, laquelle a attesté une totale incapacité de travail. Elle a diagnostiqué une psychose non organique/trouble schizotypique, un trouble panique, une anxiété généralisée et un trouble dépressif récurrent, en plus des syndromes de dépendance. La Dresse J.________ a évoqué un tableau psychotique (ou trouble de la personnalité schizotypique), faisant par ailleurs état d'idées délirantes de persécutions avec repli social important, de bizarreries du comportement avec soliloque à domicile et ruminations, ainsi que des sensations corporelles atypiques. Une consommation de cannabis était toujours présente, mais déclarée à but anxiolytique. L'assuré présentait par ailleurs un apragmatisme majeur et invalidant. Compte tenu de l'appréciation de la Dresse J.________, qui attestait la présence de nouvelles pathologies psychiatriques par rapport à la situation décrite en 2012 par le Dr M.________, l'OAI a invité le Dr K.________ à se déterminer sur l'état de santé de l'assuré dans le cadre d'une expertise psychiatrique. Ce dernier a constaté que la dépendance aux toxiques du recourant était primaire et a exclu tout diagnostic psychiatrique incapacitant (cf. expertise du 8 septembre 2017). De son point de vue, l'état de santé du recourant était superposable à celui constaté en 2012 par le Dr M.________. Dans le cadre de son expertise, le Dr K.________ a écarté le diagnostic de trouble schiztoypique, expliquant que l'assuré ne présentait pas de phénomène de vol de la pensée, de télépathie, de vécu persécutif ou hyperesthésique. Il a encore précisé que l'état de passivité et d'inhibition observé chez l'assuré n'était pas la conséquence d'une maladie chronique mais bien le résultat d'une consommation de substances chronique. Aussi, l'assuré ne présentait aucune anhédonie, aboulie, apragmatisme ou idéations suicidaires mais témoignait par contre d'un laisser-aller complet allant de pair avec la marginalisation sur fond d'une polytoxicomanie primaire. Contrairement à la Dresse J.________, l'expert n'a observé aucun problème d'anxiété aigue ou de phobies chez un assuré capable de se rendre dans les grandes surfaces et d'aller une fois par année en [...] visiter ses parents. Enfin, il a exclu la présence de</w:t>
      </w:r>
    </w:p>
    <w:p>
      <w:r>
        <w:t>- 11 - troubles cognitifs majeurs ou d'un trouble de la personnalité, constatant que l'assuré pouvait notamment retracer son histoire personnelle de manière chronologique logique. Il ressort de l'expertise du Dr K.________ que l'assuré présente une toxicodépendance qui n'est pas associée à une autre pathologie psychiatrique sévère. Aucun élément sérieux n'incite à douter des conclusions de ce médecin, confirmées par la Dresse [...] du SMR, le 25 septembre 2017. En effet, l’appréciation du Dr K.________ procède d’une analyse complète des pièces mises à disposition et repose sur un examen clinique complet. L'appréciation de la situation médicale est bien expliquée, et les conclusions médicales sont motivées de manière cohérente et convaincante. Il a par ailleurs largement discuté le rapport médical établi par la Dresse J.________, exposant de façon détaillée les éléments qui l'ont conduit à se distancer de son appréciation. Il y a par conséquent lieu d'admettre que ses conclusions répondent en tous points aux exigences jurisprudentielles en matière de valeur probante (cf. consid. 4b supra). On ajoutera qu'aucun élément au dossier ne permet d'expliquer le brusque revirement diagnostique retenu par la Dresse J.________, intervenu moins de deux ans après le rapport du médecin-traitant (cf. rapport du Dr M.________ du 21 novembre 2012), lequel ne mentionnait pas de symptomatologie psychotique, de trouble schizotypique, de problèmes d'anxiété généralisée ou d'attaque de panique. A cet égard, le Dr K.________ a encore expliqué de façon crédible qu'en l'absence de facteur de stress intercurrent ou d'éléments suggérant une nouvelle décompensation, l'appréciation de la Dresse J.________ n'était pas soutenable. Dans ce contexte, les diagnostics incapacitants posés par la Dresse J.________ semblent découler plus d’une appréciation médicale différente d’une situation identique que d’une évolution de l’état de santé du recourant. En définitive, il apparaît que sur le plan psychiatrique, aucune dégradation notable de l'état de santé du recourant entre la décision de</w:t>
      </w:r>
    </w:p>
    <w:p>
      <w:r>
        <w:t>- 12 - refus de prestations du 24 avril 2013 et la décision litigieuse du 12 décembre 2017 n'est établie à satisfaction de droit. Partant, la position de l'intimé n'est pas critiquable à cet égard.</w:t>
      </w:r>
    </w:p>
    <w:p>
      <w:r>
        <w:rPr>
          <w:b/>
        </w:rPr>
        <w:t>E. 6</w:t>
      </w:r>
    </w:p>
    <w:p>
      <w:r>
        <w:t>a) En conclusion, le recours, mal fondé, doit être rejeté et la décision attaquée confirmée. b) La procédure est onéreuse et la partie dont les conclusions sont rejetées supporte les frais de procédure (art. 69 al. 1bis LAI et 49 al. 1 LPA-VD, applicable par renvoi des art. 91 et 99 LPA-VD). En l'espèce, compte tenu de l'ampleur de la procédure, les frais de justice doivent être arrêtés à 400 fr. et être mis à la charge du recourant, qui succombe (art. 49 al. 1 LPA-VD). Il n'y a en outre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