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ZD18.003182 vom 24. August 2020</w:t>
      </w:r>
    </w:p>
    <w:p>
      <w:r>
        <w:t>VD Tribunal cantonal, 2020-08-24, FR</w:t>
      </w:r>
    </w:p>
    <w:p>
      <w:r>
        <w:rPr>
          <w:b/>
        </w:rPr>
        <w:t xml:space="preserve">Quelle: </w:t>
      </w:r>
      <w:r>
        <w:t>https://mcp.opencaselaw.ch/entscheid/vd_gerichte_ZD18.003182</w:t>
      </w:r>
    </w:p>
    <w:p>
      <w:r>
        <w:t>FR: VD_GERICHTE ZD18.003182 du 24 août 2020</w:t>
      </w:r>
    </w:p>
    <w:p>
      <w:r>
        <w:t>IT: VD_GERICHTE ZD18.003182 del 24 agosto 2020</w:t>
      </w:r>
    </w:p>
    <w:p>
      <w:pPr>
        <w:pStyle w:val="Heading2"/>
      </w:pPr>
      <w:r>
        <w:t>Volltext</w:t>
      </w:r>
    </w:p>
    <w:p>
      <w:r>
        <w:t>TRIBUNAL CANTONAL AI 30/18 - 296/2020 ZD18.003182 CO UR DE S ASSURANCES S OCIALES _____________________________________________ Arrêt du 24 août 2020 __________________ Composition : M. NEU, président MM. Küng et Berthoud, assesseurs Greffier : M. Schild ***** Cause pendante entre : Q.________, à [...], recourant, représenté par Me Florence Bourqui, avocate à Lausanne, et O.________, à Vevey, intimé. _______________ Art. 6 LPGA et 28 LAI 402</w:t>
      </w:r>
    </w:p>
    <w:p>
      <w:r>
        <w:t>- 2 - E n f a i t : A. Q.________ (ci-après : l’assuré ou le recourant), né en 1954, est au bénéfice d’une formation d’ingénieur suivie à l’ [...] de Lausanne ( [...]). Dès 1979, l’assuré a occupé différents postes au sein d’entreprises actives dans la télécommunication, notamment en tant que chef de projet. Sur le plan médical, l’assuré a été suivi depuis 1988 jusqu’en 2014 par le Dr G.________, spécialiste en psychiatrie et en psychothérapie, en raison d’un état anxio-dépressif. En 2004, l’assuré a été licencié du poste qu’il occupait depuis 1987 au sein de [...] AG comme ingénieur en télécommunication. S’en est suivie une période de chômage de deux ans. Arrivé en fin de droit, l’assuré a entamé une activité indépendante dans le domaine informatique. Entre 2007 et 2013, ses revenus annuels ont été compris entre 8'991 fr. et 32'900 francs. En 2013, Q.________ a obtenu un mandat de partenariat avec la société Z.________ SA, l’occupant à raison de 6 heures par jour, trois jours par semaine. Le 20 novembre 2014, l’assuré a déposé une demande de prestations de l’assurance-invalidité au motif qu’il souffrait d’une maladie psychique depuis 1988. Procédant à l’instruction de la demande, l’Office de l’assurance-invalidité pour le canton de Vaud (ci-après : l’OAI, l’office ou l’intimé) a recueilli des informations médicales auprès du nouveau psychiatre traitant de l’assuré, le Dr Z.________, spécialiste en psychiatrie et psychothérapie. Dans un rapport médical du 16 janvier 2015, ce spécialiste a retenu comme diagnostics avec effet sur la capacité de travail un trouble dépressif récurrent avec épisode actuel moyen, une dépendance à l’alcool actuellement contrôlée ainsi qu’un trouble de la</w:t>
      </w:r>
    </w:p>
    <w:p>
      <w:r>
        <w:t>- 3 - personnalité. La capacité de travail de l’assuré se limitait à 50% depuis le 20 mai 2014 dans son activité d’ingénieur en télécommunication. Le pronostic était peu favorable, le patient répondant aux crises par une anxiété inhibitrice qui freinait les changements et augmentait le repli. Le 10 juillet 2015, malgré une amélioration de son état, le Dr Z.________ a confirmé, en raison d’un trouble dépressif récurrent et d’un trouble de la personnalité, une capacité de travail limitée à 50% depuis 2014. Par décision du 27 avril 2016, l’OAI a pris en charge, du 1er juin 2016 au 31 mai 2017, une mesure de réinsertion économique et de soutien sur le lieu de travail (REST) auprès de Z.________ SA. Le taux de présence a été fixé à 50%. L’assuré a déféré cette décision devant la Cour des assurances sociales du Tribunal cantonal (procédure AI 134/16 - 202/2018), contestant le montant de l’indemnité journalière, fixé à 64 fr. 55. Au terme de la mesure de réinsertion économique et de soutien précitée, un rapport a été réalisé le 6 septembre 2016 par Intégration pour tous Vaud. L’employeur de l’assuré y indiquait que l’intéressé n’était plus psychiquement en mesure d’occuper un poste salarié en raison d’absences répétées dues à des états de burnout, à des pertes de mémoire régulières, à des difficultés psychomotrices, à une incapacité à organiser son travail de manière autonome et à un rythme de travail extrêmement lent. L’employeur estimait son rendement entre 50% et 75% selon les tâches qui lui étaient confiées. Dans un rapport médical du 5 décembre 2016, le Dr Z.________ a rendu compte d’une aggravation de l’état dépressif de l’assuré en raison d’un conflit conjugal. Le 20 janvier 2017, une expertise a été réalisée par C.________, psychologue et spécialiste en neuropsychologie. Elle a retenu une atteinte cognitive légère caractérisée par un léger ralentissement et de légers</w:t>
      </w:r>
    </w:p>
    <w:p>
      <w:r>
        <w:t>- 4 - troubles attentionnels, compatibles avec un état dépressif et une fatigue chronique. Mme C.________ indiquait que l’assuré était capable d’effectuer ses tâches professionnelles, mais avec une légère baisse de rendement modulée par la fatigue, de l’ordre de 10 à 20% en début de journée et de 30 à 40% en fin de journée. Afin d’optimiser le rendement et de limiter les erreurs de l’assuré dans une activité professionnelle, Mme C.________ préconisait de prévoir un horaire souple, où l’intéressé pouvait gérer ses pauses selon ses besoins, de limiter les interférences (tels que les téléphones à traiter en cours de journée) et d’éviter au maximum les situations de stress. Poursuivant l’instruction du dossier, l’OAI a préconisé la mise en œuvre d’une expertise médicale rhumatologique et psychiatrique, confiée respectivement au Dr N.________, spécialiste en rhumatologie et au Dr S.________, spécialiste en psychiatrie et psychothérapie. Dans l’optique de la réalisation de cette expertise psychiatrique par le Dr S.________, le Dr Z.________ a adressé à ce dernier un courrier du 12 avril 2017, dont la teneur est la suivante : « Mr Q.________ souffre d'un trouble dépressif récurrent, avec des périodes d'épisodes dépressifs modérés et parfois sévères. Plusieurs épisodes ont lieu chaque année. Mr Q.________ souffre aussi d'un trouble de la personnalité mixte à traits dépendants et obsessionnels. Il réagit au stress par une inhibition et un ralentissement, et lors de stress émotionnel prolongé par des réactions paranoïdes. Du fait de son trouble de la personnalité, sa vie affective et relationnelle est perturbée, il n'a pas d'enfant et son mariage tardif est actuellement en procédure de divorce. Les limitations fonctionnelles sont surtout liées à une difficulté à la concentration avec une obsessionalisation des tâches, une fatigue et une anxiété chronique avec une baisse de l'estime de soi. Professionnellement, il ne supporte que très mal les stress, se retire chez lui. » Le Dr S.________ a rendu son rapport d’expertise psychiatrique le 15 mai 2017. Il n’a retenu aucun diagnostic ayant une incidence sur la capacité de travail. Concernant les diagnostics dénués d’incidence sur dite capacité, il a énuméré les pathologies suivantes :</w:t>
      </w:r>
    </w:p>
    <w:p>
      <w:r>
        <w:t>- 5 - - trouble dépressif récurrent, épisode actuel léger avec syndrome somatique (F33.01), - troubles de la personnalité sans précision (traits narcissiques) (F60.9), - troubles mentaux et troubles du comportement liés à l’utilisation de l’alcool, utilisation nocive pour la santé (F1x.1). Le Dr S.________ a retenu une capacité de travail de 80% en raison de limitations fonctionnelles induites par les troubles de la personnalité de l’intéressé, évoquant les éléments suivants : « Cet assuré présente une personnalité à traits narcissiques et ceci vraisemblablement depuis l’adolescence, ce qui ne l’a pas empêché de travailler, mais qui peut expliquer les différents passages dépressifs qu’il a vécus en fonction de ses échecs professionnels, notamment en 1988, il dit avoir été fortement déprimé et avoir été en incapacité de travail pendant une année, il aurait à ce moment-là pris contact pour la première fois avec un psychiatre. Par la suite, l’assuré a travaillé sans être vraiment satisfait par rapport à l’image de lui-même, signalons qu’il a également travaillé en tant qu’indépendant et qu’apparemment, son entreprise n’a pas très bien fonctionné. Signalons également que selon le Dr G.________ et le Dr Z.________, l’assuré a vécu des épisodes dépressifs en fonction des événements, mais les signes et les symptômes décrits ne correspondent pas à un degré sévère qui aurait justifié l’incapacité de travail de cet assuré. Je signale encore que selon le Dr Z.________, cet assuré présente une fatigue ainsi que des troubles de la concentration avec une diminution du stress et des conflits souvent avec sa femme et l’employeur. Toutefois, ces troubles cognitifs ont pu être objectivés lors de l’examen neuropsychologique mais seulement d’un degré léger, donc nous pouvons considérer que ces troubles associés aux traits de personnalité de l’assuré provoquent des limitations fonctionnelles d’un 20% au maximum, l’assuré pouvant donc travailler à 80% ». Dans son rapport d’expertise rhumatologique du 29 mai 2017, le Dr N.________ n’a retenu aucune pathologie ayant une répercussion sur la capacité de travail. Concernant des diagnostics dénués de telles répercussions, il a retenu un syndrome lombovertébral récurrent</w:t>
      </w:r>
    </w:p>
    <w:p>
      <w:r>
        <w:t>- 6 - chronique sans signe radiculaire irritatif ou déficitaire et sans signe de discopathie, une minime discopathie et arthrose facettaire postérieure L4- L5, un status post-opération de la cataracte de l’œil droit en 2014, un syndrome de fatigue chronique ainsi qu’une hypercholestérolémie stable sous traitement. La capacité de travail, d’un point de vue purement rhumatologique, était estimée à 100% dans son activité habituelle, cette dernière respectant ses limitations fonctionnelles, soit l’interdiction de mouvements en porte-à-faux avec un long bras de levier et du port de charge en porte-à-faux avec un long bras de levier de 10 à 20 kilos, de manière répétitive. D’un point de vue bi-disciplinaire cependant, la capacité de travail se montait à 80%, sans diminution de rendement. Le 1er juin 2017, l’assuré a débuté une nouvelle mesure de réinsertion sous la forme d’une mesure d’entrainement à l’endurance, pour le compte de [...], à raison de deux heures par jour quatre jours par semaine. Une augmentation progressive était prévue jusqu’à quatre heures par jour, quatre jours par semaine. Lors d’un entretien avec les collaborateurs de l’OAI tenu le 17 juillet 2017, l’assuré a souligné qu’il se sentait bien dans cette mesure et souhaitait pouvoir la poursuivre. A l’occasion d’un rapport final établi le 20 juillet 2017, l’OAI a résumé les mesures professionnelles mises en place au profit de l’intéressé de la manière suivante : « Il dépose une demande le 25.11.2014. Durant la période de l'intervention précoce, nous avons mis en place des mesures de formation : des cours LXE et LP1 en informatique afin de lui procurer plus de ressources pour maintenir son activité d'indépendant. Des mesures d'ordre professionnel se sont ouvertes par la suite, c'est qui a permis de mettre en place une mesure de réinsertion REST d'une durée d'une année (01.06.2016 au 31.05.2017) chez Z.________ SA, employeur qui donnait des mandats à M. Q.________. La mesure, qui avait aussi prévu le suivi d'un coaching d'IPT auquel l'assuré n'a pas adhéré, n'a pas été concluante. En effet, M. Q.________ présentait des difficultés à maintenir les présences et le rythme de travail. En parallèle, l'instruction médicale du dossier a nécessité la mise en place d'une expertise bi-disciplinaire. Dans l'attente des résultats de cette expertise, nous avons mis en place une mesure de réinsertion à bas seuil chez [...] à Vevey pour permettre à notre assuré d'être actif et continuer à toucher les prestations. »</w:t>
      </w:r>
    </w:p>
    <w:p>
      <w:r>
        <w:t>- 7 - Procédant au calcul du salaire exigible, l’office AI a appliqué une réduction de 15% en raison des limitations fonctionnelles de l’assuré, de son âge et de son taux d’occupation. Il a retenu une capacité attentionnelle réduite et la nécessité d’éviter les interférences ou les situations stressantes, l’intéressé s’approchant en outre de l’âge de la retraite. Par projet de décision du 9 août 2017, l’OAI a informé l’assuré de son intention de lui allouer un quart de rente à partir du 1er mai 2015 en raison d’un degré d’invalidité de 41%. Le 11 septembre 2017, l’assuré a contesté ce projet de décision. Il soutenait que le rapport du Dr S.________, à la base du projet de décision, était dénué de pertinence, au contraire des autres rapports psychiatriques versés au dossier. Il faisait également valoir qu’il était illusoire d’espérer trouver des employeurs désireux de l’engager, notamment au vu de son âge, de ses connaissances informatiques et bureautiques insuffisantes et de ses troubles cognitifs. Par décision du 15 décembre 2017, l’OAI a confirmé son projet de décision. B. a) Par acte du 23 janvier 2018, Q.________, par l’intermédiaire de son conseil, Me Florence Bourqui, a déféré la décision précitée devant la Cour des assurances sociales du Tribunal cantonal, concluant à l’octroi d’une rente entière dès le 1er mai 2015. Il soutenait en premier lieu que le rapport d’expertise du Dr S.________ était trop peu rigoureux pour se voir accorder une quelconque primauté sur les autres rapports médicaux versés au dossier. Par ailleurs, étant âgé de 60 ans lors du dépôt de sa demande de prestations, respectivement de 63 lorsque l’OAI s’est prononcé la première fois sur sa capacité de travail médico-théorique, il convenait de se demander si, de manière réaliste, il était en mesure de retrouver un emploi dans un marché du travail équilibré. Il rappelait à cet égard ses troubles de la mémoire et de l’attention, son manque</w:t>
      </w:r>
    </w:p>
    <w:p>
      <w:r>
        <w:t>- 8 - d’autonomie, son incapacité à faire face au stress et ses absences régulières. b) Par réponse du 15 mars 2018, l’OAI a conclu au rejet du recours ainsi qu’au maintien de la décision attaquée, estimant en substance qu’il n’y avait aucune raison de considérer que l’âge avancé de l’assuré pouvait l’empêcher de mettre en valeur sa capacité résiduelle de travail. En effet, si un changement d’activité pouvait poser problème à l’approche de la retraite, ce n’était pas le cas de l’assuré, qui aurait conservé une capacité de travail dans son activité habituelle. c) Répliquant en date du 13 avril 2018, l’assuré a confirmé ses conclusions. Un examen global de ses possibilités d’engagement devait être entrepris, pas uniquement en cas de changement de domaine d’activité. Il n’était d’ailleurs plus capable d’effectuer correctement son activité habituelle d’informaticien en raison de ses nombreux troubles cognitifs. Ces derniers affectaient sa capacité de rendement et ne pouvaient être palliés par ses compétences ou son expérience. d) Dupliquant en date du 3 mai 2018, l’OAI a confirmé les éléments développés à l’occasion de sa réponse.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w:t>
      </w:r>
    </w:p>
    <w:p>
      <w:r>
        <w:t>- 9 -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contre la décision du 15 décembre 2017 a été interjeté en temps utile. Il respecte par ailleurs les conditions de forme prévues par la loi, au sens notamment de l’art. 61 let. b LPGA, de sorte qu’il est recevable. 2. Le litige a pour objet le droit du recourant à une rente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- 10 -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w:t>
      </w:r>
    </w:p>
    <w:p>
      <w:r>
        <w:t>- 11 -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L’office intimé fonde la décision litigieuse sur les deux rapports d’expertise établis respectivement les 15 et 29 mai 2017 par les Dr S.________ et N.________, dont les conclusions sont disputées. Dans le cas particulier, il importe toutefois peu d’en éprouver le caractère probant, dans la mesure où se pose avant tout la question de savoir s’il est effectivement possible pour le recourant de réintégrer le marché du travail, compte tenu notamment de son âge et de ses limitations fonctionnelles, qui ne sont en l’occurrence pas remises en cause. a) En effet,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w:t>
      </w:r>
    </w:p>
    <w:p>
      <w:r>
        <w:t>- 12 -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w:t>
      </w:r>
    </w:p>
    <w:p>
      <w:r>
        <w:t>- 13 - des rapports de travail (ATF 138 V 457 consid. 3.1 ; TF 9C_899/2015 du 4 mars 2016 consid. 4.3.1 et TF 8C_761/2014 du 15 octobre 2015 consid. 3.2.2). c)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voir aussi Jacques-André Schneider, L'âge et ses limites en matière d'assurance-invalidité, de chômage et de prévoyance professionnelle étendue, in : Grenzfälle in der Sozialversicherung, Zurich 2015, p. 5). 6. Le recourant soutient que sa situation, au vu notamment de son âge, requiert un examen global de ses chances de réintégrer un marché du travail équilibré. Pour l’Office intimé, dès lors que le recourant peut reprendre son activité habituelle et ainsi y faire valoir ses compétences de même que son expérience, l’âge de l’intéressé ne saurait constituer un obstacle à sa réinsertion, invoquant notamment l’arrêt du Tribunal fédéral 9C_427/2010 du 14 juillet 2010 consid. 2.4 et 2.5. a) En l’espèce, l’âge déterminant à prendre en considération est celui du recourant au moment de l’expertise du Dr S.________, le 15 mai 2017, constatant l’exigibilité médicale d’une activité lucrative, l’activité habituelle étant réputée convenable. L’intéressé était alors âgé de 63 ans, à deux ans de l’âge de la retraite. b) Les limitations fonctionnelles du recourant objectivées par l’expertise médicale mais également dans le cadre de mesures de réinsertion, soit des troubles cognitifs et attentionnels et une faible résistance au stress, entravent à l’évidence ses chances de retrouver un emploi. Dans le contexte de telles limitations, l’intimé a lui-même reconnu la nécessité de mettre en place une mesure de réinsertion à bas seuil chez</w:t>
      </w:r>
    </w:p>
    <w:p>
      <w:r>
        <w:t>- 14 - [...]. Cette mesure a été bien acceptée par l’intéressé, en raison notamment d’un rythme de travail progressif, passant de deux heures par jour, quatre jours par semaine (équivalent à un 20%) à quatre heures par jour, quatre jours par semaine (équivalent à un 50%). Ainsi, toute reprise d’un travail nécessiterait des aménagements spécifiques importants et ce pour un taux d’occupation qui resterait réduit. À cet égard, Mme C.________, dans son évaluation du 20 janvier 2017, a préconisé un horaire souple où l’assuré aurait la possibilité de gérer ses pauses selon ses besoins, la limitation des interférences tout comme les situations de stress. On peut ainsi raisonnablement douter qu’un éventuel employeur consente à de tels aménagements afin d’optimiser un rendement déjà réduit chez le recourant, et ce pour une durée de deux ans au maximum, l’intéressé se trouvant ensuite en mesure de faire valoir son droit à la retraite. Les atteintes à la santé et les limitations fonctionnelles du recourant l’empêchent ainsi de manière réaliste de retrouver un emploi sur un marché du travail équilibré à l’âge qui est le sien. Aucun employeur potentiel ne consentirait objectivement à l’engager, sauf concessions irréalistes au regard de l’activité que l’on tient encore théoriquement pour exigible. c) Les arguments de l’intimé ne sauraient remettre en cause cette appréciation. En effet, on remarque que la mesure professionnelle réalisée au sein de Z.________ SA n’a pas été concluante, malgré le fait que le recourant évoluait dans son domaine de compétence. Son expérience n’a pas permis de surmonter les répercussions négatives induites par ses limitations fonctionnelles. L’arrêt du Tribunal fédéral (9C_427/2010) invoqué par l’intimé ne lui est d’aucun secours, procédant à l’examen global des possibilités de réinsertion dans le marché du travail d’un assuré de 57 ans, bien plus jeune que le recourant. Le renvoi à une activité adaptée sur la base d’une appréciation strictement médico-théorique, contredite dans le cadre de mesures de réinsertion concrètes, ne sera donc pas suivi.</w:t>
      </w:r>
    </w:p>
    <w:p>
      <w:r>
        <w:t>- 15 - 7. a) En définitive, le recours doit être admis pour ce motif et la décision attaquée réformée en ce sens qu’une rente entière d’invalidité est octroyée au recourant dès le 1er mai 2015.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c) Obtenant gain de cause avec l'assistance d'un mandataire professionnel,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15 décembre 2017 par l’Office de l’assurance-invalidité pour le canton de Vaud est réformée en ce sens qu’Q.________ a droit à une rente entière d’invalidité dès le 1er mai 2015. III. Les frais judiciaires, arrêtés à 400 fr. (quatre cents francs), sont mis à la charge de l’Office de l’assurance-invalidité pour le canton de Vaud.</w:t>
      </w:r>
    </w:p>
    <w:p>
      <w:r>
        <w:t>- 16 - IV. L’Office de l’assurance-invalidité pour le canton de Vaud versera à Q.________ une indemnité de dépens, fixée à 1'500 fr. (mille cinq cents francs). Le président : Le greffier : Du L'arrêt qui précède, dont la rédaction a été approuvée à huis clos, est notifié à : - Me Bourqui, pour le recourant, - l’Office de l’assurance-invalidité pour le canton de Vaud, - l’Office fédéral des assurances-sociales,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