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ZD18.003180 vom 9. November 2018</w:t>
      </w:r>
    </w:p>
    <w:p>
      <w:r>
        <w:t>VD Tribunal cantonal, 2018-11-09, FR</w:t>
      </w:r>
    </w:p>
    <w:p>
      <w:r>
        <w:rPr>
          <w:b/>
        </w:rPr>
        <w:t xml:space="preserve">Quelle: </w:t>
      </w:r>
      <w:r>
        <w:t>https://mcp.opencaselaw.ch/entscheid/vd_gerichte_ZD18.003180</w:t>
      </w:r>
    </w:p>
    <w:p>
      <w:r>
        <w:t>FR: VD_GERICHTE ZD18.003180 du 9 novembre 2018</w:t>
      </w:r>
    </w:p>
    <w:p>
      <w:r>
        <w:t>IT: VD_GERICHTE ZD18.003180 del 9 novembre 2018</w:t>
      </w:r>
    </w:p>
    <w:p>
      <w:pPr>
        <w:pStyle w:val="Heading2"/>
      </w:pPr>
      <w:r>
        <w:t>Erwägungen</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w:t>
      </w:r>
    </w:p>
    <w:p>
      <w:r>
        <w:t>- 21 -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rPr>
          <w:b/>
        </w:rPr>
        <w:t>E. 5</w:t>
      </w:r>
    </w:p>
    <w:p>
      <w:r>
        <w:t>a) En l’espèce, l’intimé considère que le rapport d’expertise du Dr D.________ a pleine valeur probante, notamment s’agissant de la capacité de travail du recourant laquelle a été évaluée à 100% sans baisse de rendement depuis le 1er février 2016. aa) Il ressort du dossier que l’assuré travaillait en qualité de graphiste à 100% depuis le 1er septembre 2011. Après une perte pondérale de plus de 20 kg à la suite d’une rupture sentimentale en 2014, le recourant a commencé à se plaindre de douleurs neuropathiques diffuses au niveau des membres inférieurs et a présenté une péjoration sur le plan thymique. En incapacité de travail totale dès le 1er septembre 2015, l’intéressé a vu son contrat de travail résilié par l’employeur en</w:t>
      </w:r>
    </w:p>
    <w:p>
      <w:r>
        <w:t>- 22 - décembre 2015 pour le 29 février 2016. Le 23 janvier 2016, l’assuré déposait une demande de prestations AI. bb) Sur le plan somatique, les douleurs des membres inférieurs, mises initialement sur le compte d’une insuffisance veineuse, se sont aggravées après une cure de varices chirurgicales effectuée le 6 novembre 2015. Une origine neurologique a également été évoquée (polyneuropathie carentielle) laquelle a finalement été écartée à la suite d’un séjour hospitalier en neurologie du 15 décembre 2015 au 7 janvier 2016. Finalement les investigations neurologiques n’ont pas pu mettre en évidence une étiologie claire à ses douleurs aux membres inférieurs. Il sied toutefois de constater que le dossier produit par l’intimé n’est plus documenté sur le plan neurologique depuis l’obtention du rapport établi par les DrsP.________, H.________ et M.________ en date du 11 janvier 2016. On ignore ainsi quelle a été l’évolution de la situation du recourant dans ce registre, en particulier s’il bénéficie toujours d’un suivi spécialisé et si sa capacité de travail a changé de ce point de vue. Il appartenait dès lors à l’intimé d’actualiser les éléments médicaux d’ordre neurologique avant de rendre la décision querellée. cc) Sur le plan psychiatrique, compte tenu de l’apparition d’idées suicidaires et de la présence de troubles du comportement alimentaire, le recourant a été hospitalisé le 8 janvier 2016 au Département de psychiatrie de l’Hôpital psychiatrique W.________. L’ensemble des médecins consultés (les psychiatres et son médecin traitant le Dr I.________) ont estimé que la situation médicale n’était pas stabilisée et qu’elle n’était pas compatible avec la reprise d’une activité professionnelle. Ils évoquent un trouble dépressif sévère, des troubles importants du sommeil, une capacité de concentration et d’attention limitée, des troubles du comportement alimentaire (refus de manger, comptabilisation des calories de chaque repas, augmentation des exercices afin de perdre du poids), le DrI.________ retenant par ailleurs le diagnostic d’anorexie mentale (rapport du 16 février 2017). C’est dans ce contexte qu’ [...], assureur perte de gain, a mis en œuvre une expertise psychiatrique de l’assuré et qu’il a mandaté le Dr D.________. Dans son</w:t>
      </w:r>
    </w:p>
    <w:p>
      <w:r>
        <w:t>- 23 - rapport du 9 février 2017, l’expert a retenu que le recourant présentait un épisode dépressif majeur (versus trouble de l’adaptation), un éventuel trouble à symptomatologie somatique chronique, de gravité légère (dd : trouble de conversion à symptomatologie neurologique fonctionnelle), un trouble alimentaire non spécifié, une personnalité limite, avec un faux self et des traits passifs-agressifs. L’expert a conclu que malgré les diagnostics retenus, le recourant ne présentait pas les critères suffisants en faveur d’un état dépressif majeur cliniquement significatif, « en tout cas de gravité moyenne à sévère ». Il a ajouté que les tests psychométriques suggéraient une tendance très importante à l’amplification et la dramatisation des plaintes pouvant expliquer en partie les discordances d’appréciation entre le médecin expert et traitant, le second faisant le postulat de la sincérité de son patient. Finalement, il a considéré que « lorsqu’une maladie devient chronique, il ne faut dès lors souvent pas hésiter à programmer une reprise d’activité, même si quelques symptômes psychosomatiques sont encore perceptibles ». Il a ajouté qu’il y avait lieu maintenant de fixer à l’assuré des limites à ses attentes de guérison magique ou de dispense de ses obligations professionnelles. Dans le même temps, l’expert a encouragé le recourant à reprendre un suivi psychologique et un traitement antidépresseur, que l’intéressé avait cessé fin 2016 à cause, selon ses dires, de sa franchise à 2'500 francs. A l’analyse du rapport du Dr D.________, il sied de constater que les diagnostics évoqués sont peu discutés – en particulier celui du trouble de conversion liée à la symptomatologie neurologique, respectivement d’un éventuel trouble somatoforme douloureux évoqué par les médecins du Centre de psychiatrie et psychothérapie G.________ – de même que l’évolution de la capacité de travail du recourant, l’expert se limitant à conclure sommairement à une capacité de travail entière depuis le 1er février 2016 (cf. rapport d’expertise, p. 29), soit un an avant l’expertise, alors que l’ensemble des médecins consultés concluaient à l’absence d’évolution favorable depuis septembre 2015. Finalement, malgré la poursuite du traitement et une réévaluation de la médication postérieurement à l’expertise, le Centre de psychiatrie et psychothérapie G.________ a exclu toute possibilité de rendement sur le marché du travail</w:t>
      </w:r>
    </w:p>
    <w:p>
      <w:r>
        <w:t>- 24 - en raison notamment d’un trouble de la concentration et de la fatigabilité, éléments non discutés par l’expert. En termes de capacité de travail, estimée à 100% dans toute activité, on peine à comprendre les éléments qui ont conduit le Dr D.________ à cette appréciation, étant donné les diagnostics pris en considération en définitive. A cet égard, on rappellera qu’ [...] a, par courrier du 15 mars 2017 (cf. bordereau de pièces, n°4), informé l’assuré qu’après examen du rapport d’expertise du Dr D.________ et du rapport médical du Dr I.________ du 9 février 2018, son médecin- conseil avait conclu que l’incapacité de travail à 100% était justifiée sous condition d’un suivi et d’un traitement médical par un médecin-psychiatre. On ajoutera que le recourant a contesté différents points de l’expertise, notamment l’affirmation selon laquelle il promène son chien à raison de deux heures par jour. Or, cet élément est central dans l’analyse effectuée par l’expert, lequel est d’avis que l’intéressé peut investir différentes activités quotidiennes, notamment s’occuper de son chien. Au chapitre somatique, l’expert fait état des plaintes de l’assuré tout en rappelant qu’il promène son chien deux heures par jour. Or, tous les médecins consultés s’accordent à dire que le recourant présente des difficultés de déplacement (utilisation d’une canne) et que sa mobilité est considérablement réduite. b) En définitive, il n’est pas possible en l’état du dossier de se prononcer clairement sur les diagnostics psychiques devant être retenus dans le cas du recourant, singulièrement s’agissant de celui de trouble de conversion, respectivement de trouble somatoforme douloureux et de déterminer avec suffisamment de certitude son incidence sur la capacité résiduelle de travail de l’intéressé. En particulier, le Dr D.________ s’est contenté d’indiquer que le trouble de conversion était de gravité légère sans plus d’explication. On ignore enfin les ressources dont dispose le recourant.</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w:t>
      </w:r>
    </w:p>
    <w:p>
      <w:r>
        <w:t>- 25 -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l’occurrence, au vu des lacunes dans l’instruction du cas, il s’avère que ni l’état de santé psychique de recourant, ni les conséquences de cet état de santé sur son éventuelle capacité de travail résiduelle n’ont pu être établis de manière probante. L’instruction doit être complétée et actualisée. Il se justifie par conséquent de renvoyer la cause à l’intimé afin qu'il mette en œuvre un complément d'instruction, par l’actualisation du dossier somatique et par la mise en œuvre à tout le moins d’une expertise psychiatrique indépendante au sens de l’art. 44 LPGA, et par toutes autres mesures jugées utiles, aux fins de déterminer précisément les atteintes que présente l'assuré, les limitations fonctionnelles qui en résultent ainsi que leur influence sur sa capacité de travail, puis de rendre une nouvelle décision. c) C’est le lieu de relever que, dans deux arrêts rendus le 30 novembre 2017 (ATF 143 V 409 et ATF 143 V 418), le Tribunal fédéral a</w:t>
      </w:r>
    </w:p>
    <w:p>
      <w:r>
        <w:t>- 26 - étendu la procédure structurée d’administration des preuves développée pour les troubles somatoformes douloureux et les troubles psychosomatiques analogues (ATF 141 V 281) à tous les troubles psychiques. Cela signifie qu’il y a lieu d’examiner au cas par cas et selon une procédure structurée ce que l’assuré est capable de faire. Il convient notamment d’évaluer globalement et sans préjuger des résultats les capacités fonctionnelles effectives de l’intéressé. La procédure s’appuie sur des indicateurs au moyen desquels on déterminera si et dans quelle mesure l’assuré est apte au travail. Les indicateurs pris en compte sont les rapports médicaux, l’éventuel recours à des thérapies, leur déroulement et leurs effets, les essais de réadaptation professionnelle, les éventuelles comorbidités, le contexte social de la personne concernée, ainsi que les limitations dans la vie quotidienne. d) Dans le cadre de l’expertise psychiatrique à intervenir, il incombera à l’OAI de veiller à ce que l’expert examine la situation du recourant au regard de ces nouveaux critères jurisprudentiels (au sujet des nouvelles directives concernant l’expertise médicale dans l’assurance- invalidité, cf. ch. marg. 2075 ss de la Circulaire sur la procédure dans l’assurance-invalidité édictée par l’Office fédéral des assurances sociales ainsi que les annexes VI, VII et VIII, dans leur teneur en vigueur à compter du 1er janvier 2018).</w:t>
      </w:r>
    </w:p>
    <w:p>
      <w:r>
        <w:rPr>
          <w:b/>
        </w:rPr>
        <w:t>E. 7</w:t>
      </w:r>
    </w:p>
    <w:p>
      <w:r>
        <w:t>a) En définitive, le recours se révèle bien fondé et doit donc être admis, ce qui entraîne l’annulation de la décision rendue par l’office AI le 6 décembre 2017, la cause lui étant renvoyée pour complément d’instruction au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w:t>
      </w:r>
    </w:p>
    <w:p>
      <w:r>
        <w:t>- 27 - En l'espèce, les frais de justice doivent être fixés à 400 fr. et mis à la charge de l'OAI, qui succombe. c) Obtenant gain de cause avec l'assistance d'un mandataire professionnel, le recourant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