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ZD18.001722 vom 24. Juni 2019</w:t>
      </w:r>
    </w:p>
    <w:p>
      <w:r>
        <w:t>VD Tribunal cantonal, 2019-06-24, FR</w:t>
      </w:r>
    </w:p>
    <w:p>
      <w:r>
        <w:rPr>
          <w:b/>
        </w:rPr>
        <w:t xml:space="preserve">Quelle: </w:t>
      </w:r>
      <w:r>
        <w:t>https://mcp.opencaselaw.ch/entscheid/vd_gerichte_ZD18.001722</w:t>
      </w:r>
    </w:p>
    <w:p>
      <w:r>
        <w:t>FR: VD_GERICHTE ZD18.001722 du 24 juin 2019</w:t>
      </w:r>
    </w:p>
    <w:p>
      <w:r>
        <w:t>IT: VD_GERICHTE ZD18.001722 del 24 giugno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 singulièrement le degré d'invalidité à la base de cette prestation.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- 18 -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- 19 -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w:t>
      </w:r>
    </w:p>
    <w:p>
      <w:r>
        <w:t>- 20 - en principe d’attacher plus de poids aux constatations d’un expert qu’à celles du médecin traitant (ATF 125 V 351 consid. 3b/cc et les références ; TF 8C_15/2009 du 11 janvier 2010 consid. 3.2).</w:t>
      </w:r>
    </w:p>
    <w:p>
      <w:r>
        <w:rPr>
          <w:b/>
        </w:rPr>
        <w:t>E. 5</w:t>
      </w:r>
    </w:p>
    <w:p>
      <w:r>
        <w:t>a) Sur le plan somatique, les experts du Centre E.________ et de la Clinique AN.________ ont retenu comme diagnostic avec répercussion sur la capacité de travail de traumatisme de la cheville droite, avec fracture de pseudo-Jones du pied droit, compliquée de pseudarthrose. Tant le Prof. V.________ et la Dresse U.________, que les Dresses AF.________ et AC.________ ont estimé que la capacité de travail était nulle dans l’activité habituelle, mais qu’elle était entière dans une activité adaptée. S’agissant des limitations fonctionnelles, ils ont relevé que l’assuré pouvait effectuer un travail en position assise (Centre E.________), évitant les marches prolongées, les ports de charges moyennes à lourdes, les montées et descentes répétitives d'escaliers, les stations debout prolongées, ainsi que les positions à genoux ou accroupies ( [...]). Bien que formulées de manières différentes, les limitations fonctionnelles affectant le recourant sont concordantes pour l’ensemble des experts. Ces limitations étaient justifiées pour ceux-ci par l’atteinte orthopédique résultant de l’accident. Du point de vue neurologique, il n’y avait pas de diagnostic justifiant la reconnaissance d’une quelconque incapacité de travail. Le rapport d’expertise du Centre E.________ et celui de la Clinique AN.________ ont fait suite à plusieurs examens de l'intéressé, sur les plans orthopédique, neurologique et psychiatrique. Ils ont été établis en pleine connaissance de l'anamnèse et du dossier radiologique du recourant. Ils tiennent notamment compte des avis médicaux postulés par les spécialistes consultés par le recourant. De plus, les plaintes du recourant ont été détaillées et prises en considération. La description du contexte médical est claire. Les experts ont expliqué les différents éléments les ayant amenés à leurs conclusions, lesquelles sont bien motivées et convaincantes. Ces deux expertises remplissent ainsi les critères jurisprudentiels pour se voir reconnaître une pleine valeur probante, de sorte qu’il convient de se rallier à leurs conclusions concordantes. S’agissant de la date à partir de laquelle l’assuré a présenté</w:t>
      </w:r>
    </w:p>
    <w:p>
      <w:r>
        <w:t>- 21 - une capacité de travail entière dans une activité adaptée, les experts du Centre E.________ ont retenu le 15 avril 2016, soit six mois après la dernière intervention chirurgicale. Il convient ainsi de conclure, au degré de la vraisemblance prépondérante, que le recourant disposait d’une capacité de travail entière dans une activité adaptée depuis le 15 avril 2016. Les autres rapports médicaux figurant au dossier ne sont pas de nature à remettre en cause les considérations qui précèdent. Les rapports des 2 et 23 novembre 2015 des spécialistes du Centre hospitalier C.________ concluent certes à une incapacité de travail entière, mais pour cette période, une telle incapacité n’est pas contestée (cf. rapports des 1er et 31 décembre 2015 du Dr F.________). Dans ses rapports des 6 avril, 2 juin et 2 septembre 2016, la Dr Q.________ conclut à une incapacité de travail totale, mais sans préciser si cela concerne l’activité habituelle ou toutes autres activités. Ces documents, établis à l’attention du médecin- conseil de l’assureur-accident ne sont ainsi guère probants dans le cadre de la décision litigieuse. Dans son rapport du 17 juillet 2017, le Dr AB.________ ne se prononce pas sur la capacité de travail du recourant, exposant les difficultés rencontrées par le recourant, mais sans se prononcer sur la capacité de travail dans une activité adaptée. Il en va de même des rapports du Dr AO.________ produit dans le cadre du recours. En outre, les divers rapports radiologiques produits au dossier ne se prononcent pas sur la capacité de travail du recourant mais constituent des constats à l’attention des médecins consultés par l’intéressé. Dans leur rapport du 13 juin 2016, la Dresse K.________ et le Dr L.________ conclent également à une incapacité de travail entière dans l’activité habituelle, mais relèvent que des activités en position assise pouvaient encore être exigées sans toutefois expliciter les raisons qui empêchaient le recourant de reprendre une telle activité. Or, le rapport de la Clinique AN.________ a permis d’expliquer ces motifs, montrant de manière probante la prévalence des facteurs non médicaux chez l’assuré. La Clinique AN.________ a relevé l’importance des facteurs contextuels Elle a mis en évidence un expertisé très fixé sur ses douleurs et sur ses</w:t>
      </w:r>
    </w:p>
    <w:p>
      <w:r>
        <w:t>- 22 - limitations. En outre, d’évidentes incohérences ont été constatées lors du séjour à la Clinique AN.________. Les experts ont en effet pu observer que le recourant déclarait ne pas pouvoir charger le pied et se mettre debout au moment des examens médicaux, alors qu’il a été observé marchant sans moyen auxiliaire en dehors des examens. Or, un tel constat n’est pas compatible avec l’ampleur des plaintes exprimées par le recourant. En définitive, le recourant n’a pas fait état d’éléments objectivement vérifiables qui auraient été ignorés dans le cadre de l’instruction et qui seraient suffisamment pertinents pour remettre en cause les conclusions de cette dernière, de sorte que dites conclusions emportent la conviction de l’autorité de céans. b) Sur le plan psychique, le rapport médical du Dr AP.________ et de la psychologue AQ.________ du 20 avril 2018, ainsi que les certificats médicaux du Dr AP.________ des 20 avril et 30 avril 2018 n’attestent pas de problèmes psychiatriques qui seraient antérieurs à la consultation de ces spécialistes, soit au mois de janvier 2018. Ceux-ci ont décrit l'état de santé du recourant à ce moment-là et ne font pas état d'éléments objectivement vérifiables antérieurs à la décision litigieuse, qui auraient échappé à l'instruction menée par l’intimé. De plus, il y a lieu de relever que le recourant a fait l’objet d’un examen psychiatrique à la Clinique AN.________ le 4 août 2017 et qu’à cette occasion, la Dresse AI.________ n’avait pas retenu de diagnostic psychiatrique, exposant une présentation clinique marquée principalement par des problèmes assécurologiques. Dans ce contexte, il n’est pas établi – au degré de la vraisemblance prépondérante – que l’assuré présentait une pathologie psychiatrique incapacitante au moment de la décision litigieuse le 27 novembre 2017 ni même qu’il existe le moindre doute à ce sujet.</w:t>
      </w:r>
    </w:p>
    <w:p>
      <w:r>
        <w:t>- 23 - c) Il ressort de ce qui précède que l’OAI était fondé à retenir que le recourant disposait d’une capacité de travail entière dans une activité adaptée depuis le 15 avril 2016.</w:t>
      </w:r>
    </w:p>
    <w:p>
      <w:r>
        <w:rPr>
          <w:b/>
        </w:rPr>
        <w:t>E. 6</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d’intentions de la personne assurée ne suffisent pas (TF 8C_290/2013 du</w:t>
      </w:r>
    </w:p>
    <w:p>
      <w:r>
        <w:rPr>
          <w:b/>
        </w:rPr>
        <w:t>E. 11</w:t>
      </w:r>
    </w:p>
    <w:p>
      <w:r>
        <w:t>mars 2014 consid. 6 ; 9C_486/2011 du 12 octobre 2011 consid. 4.1 ; Margit Moser-Szeless, in Dupont/Moser-Szeless [édit.], Loi sur la partie générale des assurances sociales, Commentaire romand, Bâle 2018, n° 18 ad art. 16 LPGA).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w:t>
      </w:r>
    </w:p>
    <w:p>
      <w:r>
        <w:t>- 24 - équivalent normalement à une prestation de travail correspondante (ATF 141 V 351 consid. 4.2). b)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- 25 - 7. En l’espèce, la mise en valeur de la capacité résiduelle de travail du recourant dans une activité adaptée est exigible comme l’ont exposé les experts du Centre E.________ et de la Clinique AN.________. Le marché du travail offre un large éventail d'activités légères, dont on doit convenir qu'un certain nombre sont adaptées aux limitations du recourant et accessibles sans aucune formation particulière. Le moment déterminant pour procéder à la comparaison des revenus est l’année 2016. Le salaire sans invalidité fixé par l’intimé en référence au rapport établi par J.________ le 7 juillet 2016 (44'400 fr.) ne prête pas flanc à la critique et doit être confirmé. S’agissant du salaire avec invalidité, en l’absence de revenu effectivement réalisé, l’OAI s’est basé sur les données résultant de l’ESS. Le salaire mensuel brut fixé par l’ESS 2012 pour les hommes effectuant une activité simple et répétitive dans le secteur privé s'élève à 5’210 fr., part au treizième salaire comprise (ESS 2012, TA1, niveau de qualification 1). Ce salaire doit être adapté compte tenu du fait que les salaires bruts standardisés se basent sur un horaire de travail de quarante heures, soit une durée hebdomadaire inférieure à celle prévalant dans les entreprises en 2013, à savoir 41,7 heures (La Vie économique, tableau B 9.2). Le revenu d'invalide s’élève ainsi à 5'431 fr. 43 par mois (5'210 fr. x 41,7 h ÷ 40 h), correspondant à un montant de 65'177 fr. 10 par année. Ce revenu doit encore être adapté à l’évolution des salaires nominaux de 2013 à 2016, ce qui conduit à un gain annuel de 66'688 fr. 73 (+ 0,7 % + 0,8 % + 0,4 % + 0,4 % + [La Vie économique, tableau B 10.2]). C’est à juste titre que l’intimé a tenu compte d’une réduction de 10 % pour tenir compte des limitations fonctionnelles du recourant. Ce qui aboutit à un revenu avec invalidité de 60'019 fr. 86 (66'688.73 – 10 %). La comparaison des revenus avec et sans invalidité montre qu’il n’y a pas de préjudice économique, de sorte que l’assuré n’a pas droit aux prestations de l’assurance-invalidité.</w:t>
      </w:r>
    </w:p>
    <w:p>
      <w:r>
        <w:t>- 26 - 8.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être fixés à 400 fr. et mis à la charge du recourant, qui succombe. Toutefois, dès lors que le recourant a obtenu, au titre de l’assistance judiciaire, l’exonération d’avance et des frais de justice, ces frais sont laissés provisoirement à la charge de l’Etat (art. 122 al. 1 let. b CPC [code fédéral de procédure civile du 19 décembre 2008 ; RS 272], applicable par renvoi de l’art. 18 al. 5 LPA-VD). c) Il n’y a pas lieu d’allouer de dépens vu l’issue du litige (art. 61 let. g LPGA). d)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l’occurrence, Me Bridel a été indemnisé et relevé de sa mission de conseil d’office par décision de la juge instructeur du 19 décembre 2018.</w:t>
      </w:r>
    </w:p>
    <w:p>
      <w:r>
        <w:t>- 27 - En l’espèce, Me Fetahi a produit une liste de ses opérations le 23 avril 2019 pour la période du 1er janvier au 23 avril 2019, laquelle a été contrôlée au regard de la procédure et rentre globalement dans le cadre du bon accomplissement du mandat. Compte tenu des prestations d’avocat (37 minutes à 180 fr./heure, soit 111 fr.) et des débours de 5 % selon l’art. 3bis al. 1 RAJ (5 fr. 55) s’inscrivant raisonnablement dans l’exercice de sa tâche (ATF 122 I 1), le montant total de l’indemnité de Me Fetahi s’élève donc à 125 fr. 50, y compris la TVA de 7,7 %. La rémunération du conseil d’office est provisoirement supportée par le canton, le recourant étant rendu attentive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