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ZD18.000251 vom 7. August 2018</w:t>
      </w:r>
    </w:p>
    <w:p>
      <w:r>
        <w:t>VD Tribunal cantonal, 2018-08-07, FR</w:t>
      </w:r>
    </w:p>
    <w:p>
      <w:r>
        <w:rPr>
          <w:b/>
        </w:rPr>
        <w:t xml:space="preserve">Quelle: </w:t>
      </w:r>
      <w:r>
        <w:t>https://mcp.opencaselaw.ch/entscheid/vd_gerichte_ZD18.000251</w:t>
      </w:r>
    </w:p>
    <w:p>
      <w:r>
        <w:t>FR: VD_GERICHTE ZD18.000251 du 7 août 2018</w:t>
      </w:r>
    </w:p>
    <w:p>
      <w:r>
        <w:t>IT: VD_GERICHTE ZD18.000251 del 7 agosto 2018</w:t>
      </w:r>
    </w:p>
    <w:p>
      <w:pPr>
        <w:pStyle w:val="Heading2"/>
      </w:pPr>
      <w:r>
        <w:t>Erwägungen</w:t>
      </w:r>
    </w:p>
    <w:p>
      <w:r>
        <w:rPr>
          <w:b/>
        </w:rPr>
        <w:t>E. 4</w:t>
      </w:r>
    </w:p>
    <w:p>
      <w:r>
        <w:t>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w:t>
      </w:r>
    </w:p>
    <w:p>
      <w:r>
        <w:t>- 17 - exigible doit être déterminée aussi objectivement que possible (art. 7 al. 2, deuxième phrase, LPGA ; ATF 141 V 281 consid. 3.7.1, 127 V 294 consid. 4c in fine et 102 V 165 ; Pratique VSI 5/2001 p. 223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b)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Dans un arrêt du 3 juin 2015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w:t>
      </w:r>
    </w:p>
    <w:p>
      <w:r>
        <w:t>- 18 -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w:t>
      </w:r>
    </w:p>
    <w:p>
      <w:r>
        <w:t>- 19 -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(consid. 4.4 de l’arrêt cité).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Le Tribunal fédéral a récemment étendu l’application de la procédure d’administration des preuves prévalant en matière de troubles douloureux sans substrat organique (troubles somatoformes douloureux) et de troubles psychosomatiques analogues à l’ensemble des maladies psychiatriques (ATF 143 V 418 et 143 V 409).</w:t>
      </w:r>
    </w:p>
    <w:p>
      <w:r>
        <w:rPr>
          <w:b/>
        </w:rPr>
        <w:t>E. 5</w:t>
      </w:r>
    </w:p>
    <w:p>
      <w:r>
        <w:t>En l’espèce, dans le cadre d’une procédure de révision d’office, l’OAI a retenu que la capacité de travail de la recourante était désormais totale et a de ce fait supprimé la demi-rente qui lui avait été allouée depuis novembre 2010 par décision du 4 avril 2012. Il convient ainsi d’examiner si le degré d’invalidité de l’assurée a subi une modification significative entre la décision précitée et la décision litigieuse du 14 novembre 2017. a) Pour rendre la décision du 4 avril 2012, l’OAI s’est fondé sur le rapport d’expertise des médecins de la H.________, lesquels avaient posé les diagnostics ayant une répercussion sur la capacité de travail de trouble dépressif récurrent, épisode actuel moyen, et de trouble de la personnalité</w:t>
      </w:r>
    </w:p>
    <w:p>
      <w:r>
        <w:t>- 20 - dépendante. Ils ont notamment retenu une capacité de travail de 50 % depuis le mois de février 2010. D’autres diagnostics, tels que la somatisation et les céphalées tensionnelles chroniques, n’avaient quant à eux pas d’effet sur la capacité de travail. b) Au cours de la procédure de révision initiée par l’OAI en 2014, l’intéressée a été examinée par le Dr B.________ dans le cadre d’une expertise psychiatrique. Dans son rapport du 1er juin 2017, le spécialiste a posé les diagnostics de dysthymie, d’épisode dépressif majeur récurrent en rémission, ainsi que de personnalité abandonnique avec immaturité. Selon lui, la capacité de travail de l’assurée était désormais entière. Cette expertise fait suite à un examen complet du dossier et a été établie en pleine connaissance de l’anamnèse. Avant de rédiger son rapport, le Dr B.________ a demandé des informations supplémentaires au Dr P.________, qu’il a prises en considération, tout comme les plaintes exprimées par l’assurée. Pour le surplus, la description du contexte médical et l’appréciation de la situation médicale sont claires et détaillées. Le Dr B.________ a en particulier exposé qu’il ne retrouvait plus les critères cardinaux en faveur d’un épisode dépressif de gravité moyenne à sévère. Il a précisé qu’il n’y avait pas d’anhédonie, d’aboulie, d’apragmatisme ou de tendance au retrait social, et que l’assurée avait au contraire investi une vie sociale, exerçait une petite activité professionnelle, et avait pu se reprendre en main au niveau de sa surcharge pondérale puisqu’elle avait perdu vingt kilos. Relevant par ailleurs de légères variations de l’humeur, il a conclu à un trouble dépressif récurrent actuellement en rémission et une évolution dysthymique. A cet égard, il sied de relever qu’en 2014 déjà, le psychiatre suivant la recourante à cette époque avait constaté une amélioration de l’état psychologique de sa patiente, laquelle ne présentait plus d’état dépressif (cf. rapport du 10 avril 2014 du Dr G.________). Le Dr B.________ a également exposé les raisons pour lesquelles il retenait une personnalité abandonnique avec immaturité. S’agissant des somatisations, il a expliqué qu’elles n’étaient plus véritablement au premier plan. Il a relevé que les tests psychométriques soulignaient une tendance très nette à la dramatisation ou à l’amplification, précisant que</w:t>
      </w:r>
    </w:p>
    <w:p>
      <w:r>
        <w:t>- 21 - cela était fréquemment retrouvé chez une personnalité avec une composante d’immaturité qui avait une vision très excessive ou très auto- centrée de ses difficultés. Il a également analysé la personnalité de l’expertisée. De plus, il a décrit qu’elle disposait de nombreuses ressources, lui ayant permis de s’intégrer socialement tout en exerçant une activité lucrative. En conclusion, il a retenu une amélioration de l’état psychique, avec une capacité de travail désormais totale. Le Dr B.________ a ainsi expliqué les différents éléments l’ayant amené à ses conclusions, qui sont bien motivées. La recourante soutient que l’entretien avec l’expert n’aurait duré qu’une quinzaine de minutes et qu’une tierce personne, qui n’avait pas été présentée, y avait assisté. La durée de l’examen – qui n’est pas en soi un critère de la valeur probante d’un rapport médical – ne saurait remettre en question la valeur du travail de l’expert, puisque son rôle consiste notamment à se prononcer sur l’état de santé de l’assuré dans un délai relativement bref (ATF 125 V 351 consid. 3a ; TF 9C_157/2016 du 4 août 2016 consid. 4.1 et les références citées). Le rapport du Dr B.________, comportant notamment une anamnèse et une discussion détaillées, démontre que l’expert s’est consacré de manière appropriée au cas de la recourante. Il ne recèle en outre aucune trace de partialité. Les arguments de l’assurée selon lesquels le Dr B.________ aurait embelli sa situation reposent uniquement sur ses propres déclarations. Par ailleurs, la présence d’une tierce personne – en l’occurrence la psychologue R.________, laquelle a collaboré à l’interprétation des tests psychométriques – ne permet pas de conclure à un déroulement irrégulier de l’expertise. Il en va de même pour les tests psychométriques que la recourante a dû réaliser seule dans une pièce séparée avant et après l’entretien avec le Dr B.________. En définitive, cette expertise remplit les critères jurisprudentiels pour se voir reconnaître une pleine valeur probante. Ses conclusions ont au demeurant été confirmées par le Dr S.________ du SMR, qui s’y est rallié (cf. avis médical du 26 juin 2017).</w:t>
      </w:r>
    </w:p>
    <w:p>
      <w:r>
        <w:t>- 22 - Les autres documents médicaux figurant au dossier ne sont pas de nature à remettre en question les conclusions de l’expertise. En particulier, le Dr P.________ et la psychologue Z.________ n’ont pas fait état d’éléments objectivement vérifiables qui auraient été ignorés dans le cadre de l’expertise et qui seraient suffisamment pertinents pour remettre en cause le bien-fondé de ses conclusions. Ils ont en particulier relevé une recrudescence de symptômes à la suite de l’annonce de l’OAI de supprimer la rente de l’assurée. Il s’agit typiquement d’un processus réactionnel, dont rien ne permet de considérer qu’il remet en cause sérieusement l’analyse à laquelle s’est livré le Dr B.________. Par ailleurs, tel que le relève le Dr S.________ du SMR, le risque d’incapacité totale de travail évoqué par le Dr P.________ et la psychologue Z.________ en lien avec la suppression de la demi-rente d’invalidité se fonde sur une spéculation. Enfin, les constatations émanant de ces derniers, suivant l’assurée depuis 2014, doivent être admises avec réserve (cf. consid. 3d supra). Le Dr X.________ a quant à lui certes fait état d’une capacité de travail de 50 %, mais son rapport, daté du 14 avril 2014, a été établi plus de deux ans avant l’examen effectué par le Dr B.________. Au demeurant, les diagnostics psychiatriques retenus par le médecin généraliste traitant ne sauraient remettre en cause ceux posés par un spécialiste en psychiatrie. Sur le plan psychiatrique, l’intimé a ainsi retenu à juste titre une capacité de travail désormais totale. c) La recourante lui reproche encore de ne pas avoir pris en compte ses atteintes somatiques, se fondant notamment sur les rapports du Dr N.________. Toutefois, il y a lieu de rappeler que la demi-rente d’invalidité lui avait été octroyée uniquement pour ses atteintes psychiatriques. A l’époque, les spécialistes de la H.________, en particulier le rhumatologue et le neurologue, avaient posé plusieurs diagnostics sur le plan somatique,</w:t>
      </w:r>
    </w:p>
    <w:p>
      <w:r>
        <w:t>- 23 - lesquels n’avaient toutefois, selon ces médecins, aucune répercussion sur la capacité de travail. Les atteintes dont se prévaut actuellement la recourante ont pour l’essentiel déjà été décrites par les experts de la H.________ (céphalées, douleurs cervico-dorso-lombaires, atteintes au genou, troubles du sommeil, etc.), sans qu’ils ne retiennent une incapacité de travail sur le plan somatique. En outre, l’acutisation des cervico- occipitalgies, attribuée par le Dr N.________ à une névralgie d’Arnold (cf. rapport du 8 septembre 2017), avait, selon ce médecin, connu une évolution favorable à la suite de l’infiltration qu’il avait effectuée (cf. rapport du 20 décembre 2017). Par ailleurs, il notait qu’il persistait des cervicobrachialgies et des omalgies, ces dernières étant probablement imputables à une arthropathie acromio-claviculaire. S’agissant de cette atteinte, le Dr S.________ du SMR a expliqué que la recourante conservait quoi qu’il en soit une capacité de travail entière dans son ancienne activité auprès de M.________ ou une activité identique, celle-ci respectant les limitations fonctionnelles d’épargne de l’épaule, comme l’absence de port de charges lourdes. Le Dr N.________, quant à lui, après avoir retenu une capacité de travail de 50 % dans son premier rapport, a par la suite expressément renoncé à se déterminer sur cette question. En définitive, on ne saurait admettre que la recourante présente désormais des atteintes somatiques pouvant entraîner une incapacité de travail. d) Au vu de ce qui précède, l’intimé était fondé à considérer que l’assurée disposait d’une pleine capacité de travail dans son activité habituelle depuis la fin de l’année 2016. La situation de la recourante ayant connu une amélioration notable et durable, la suppression de la demi-rente d’invalidité à partir du 1er janvier 2018 était justifiée. Cette date correspond au premier jour du deuxième mois suivant la notification de la décision litigieuse du 14 novembre 2017 (cf. art. 88a al. 1 et 88bis al. 2 let. a RAI ; consid. 3b supra).</w:t>
      </w:r>
    </w:p>
    <w:p>
      <w:r>
        <w:rPr>
          <w:b/>
        </w:rPr>
        <w:t>E. 6</w:t>
      </w:r>
    </w:p>
    <w:p>
      <w:r>
        <w:t>Le dossier est complet et permet à la Cour de céans de statuer en pleine connaissance de cause. Il n'y a dès lors pas lieu de mettre en œuvre l’expertise pluridisciplinaire requise par la recourante. En effet, une telle mesure d’instruction ne serait pas de nature à modifier les</w:t>
      </w:r>
    </w:p>
    <w:p>
      <w:r>
        <w:t>- 24 - considérations qui précèdent puisque les faits pertinents ont pu être constatés à satisfaction de droit (appréciation anticipée des preuves ; ATF 130 II 425 consid. 2.1 et 122 II 464 consid. 4a ; TF 9C_748/2013 du 10 février 2014 consid. 4.2.1 et 8C_361/2009 du 3 mars 2010 consid. 3.2).</w:t>
      </w:r>
    </w:p>
    <w:p>
      <w:r>
        <w:rPr>
          <w:b/>
        </w:rPr>
        <w:t>E. 7</w:t>
      </w:r>
    </w:p>
    <w:p>
      <w:r>
        <w:t>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de la recourante, qui succombe (art. 49 al. 1 LPA-VD). La recourante,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