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ZD18.000241 vom 31. Oktober 2018</w:t>
      </w:r>
    </w:p>
    <w:p>
      <w:r>
        <w:t>VD Tribunal cantonal, 2018-10-31, FR</w:t>
      </w:r>
    </w:p>
    <w:p>
      <w:r>
        <w:rPr>
          <w:b/>
        </w:rPr>
        <w:t xml:space="preserve">Quelle: </w:t>
      </w:r>
      <w:r>
        <w:t>https://mcp.opencaselaw.ch/entscheid/vd_gerichte_ZD18.000241</w:t>
      </w:r>
    </w:p>
    <w:p>
      <w:r>
        <w:t>FR: VD_GERICHTE ZD18.000241 du 31 octobre 2018</w:t>
      </w:r>
    </w:p>
    <w:p>
      <w:r>
        <w:t>IT: VD_GERICHTE ZD18.000241 del 31 ottobre 2018</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w:t>
      </w:r>
    </w:p>
    <w:p>
      <w:r>
        <w:t>- 19 -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compte tenu des féries (art. 96 al. 1 let. c LPA- VD), le recours a été interjeté en temps utile. Les exigences de forme prévues par la loi, au sens notamment de l’art. 61 let. b LPGA, ont par ailleurs été respectées. Le recours est en conséquence recevable quant à la forme de sorte qu’il y a lieu d’entrer en matière sur le fond.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 RCC 1985 p. 53).</w:t>
      </w:r>
    </w:p>
    <w:p>
      <w:r>
        <w:t>- 20 - b) En l'espèce, est litigieuse la question de savoir si le recourant présente, en raison d'une atteinte à la santé, une diminution de sa capacité de travail et de sa capacité de gain susceptible de lui ouvrir le droit à des prestations de l’AI.</w:t>
      </w:r>
    </w:p>
    <w:p>
      <w:r>
        <w:rPr>
          <w:b/>
        </w:rPr>
        <w:t>E. 3</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s'il est invalide à 40% au moins (art. 28 al. 1 let. c LAI) et peut en outre prétendre à une mesure de reclassement s’il est invalide à 20% environ (ATF 139 V 399 consid. 5.3, 130 V 488 consid. 4.2 et 124 V 108 consid. 2b).</w:t>
      </w:r>
    </w:p>
    <w:p>
      <w:r>
        <w:rPr>
          <w:b/>
        </w:rPr>
        <w:t>E. 3.4</w:t>
      </w:r>
    </w:p>
    <w:p>
      <w:r>
        <w:t>et 3.5 de l'arrêt cité) et introduit un nouveau schéma d'évaluation au moyen d'indicateurs en lieu et place de l’ancien catalogue de critères (consid. 4 de l'arrêt cité). Cette modification jurisprudentielle n’influe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c) La preuve d’un trouble somatoforme douloureux, et donc désormais de tout trouble psychique, suppose en premier lieu que l’atteinte soit diagnostiquée par l’expert selon les règles de l’art, en tenant compte en particulier du critère de gravité inhérent à ce diagnostic et en faisant référence aux limitations fonctionnelles constatées. Une fois le diagnostic posé, la capacité de travail réellement exigible doit être</w:t>
      </w:r>
    </w:p>
    <w:p>
      <w:r>
        <w:t>- 25 - examinée au moyen d’un catalogue d’indicateurs (ATF 141 V 281 consid. 4.1.1). d) La grille d’évaluation développée dans l’arrêt ATF 141 V 281 comprend un examen du degré de gravité fonctionnel de l’atteinte à la santé (funktioneller Schweregrad),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(ATF 141 V 281 consid. 4.3). e) La grille d’évaluation de la capacité résiduelle de travail comprend également un examen de la cohérence (Konsistenz)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et dans les autres domaines de la vie. Il est notamment recommandé de faire une comparaison avec le niveau d’activité sociale avant l’atteinte à la santé. Il s’agit également de vérifier si des traitements sont mis à profit ou, au contraire, sont négligés (ATF 141 V 281 consid. 4.4 ; 9C_862/2014 du 17 septembre 2015, consid. 3.2). Cela ne vaut toutefois qu’aussi longtemps que le comportement en question n’est pas influencé par la procédure en matière d’assurance en cours. On ne peut pas conclure à l’absence de lourdes souffrances lorsqu’il est clair que le fait de ne pas</w:t>
      </w:r>
    </w:p>
    <w:p>
      <w:r>
        <w:t>- 26 -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f) Le Tribunal fédéral a précisé que ce changement de jurisprudence intervenu à l’arrêt 141 V 281 ne justifie pas en soi de retirer toute valeur probante aux expertises rendues à l’aune de l’ancienne jurisprudence. Il y a lieu d’examiner dans chaque cas si les expertises administratives et/ou les expertises judiciaires recueilles, le cas échéant en les mettant en relation avec d’autres rapports médicaux, permettent ou non une appréciation concluante du cas à l’aune des indicateurs déterminants (ATF 141 V 281, consid. 8, TF 9C_716/2015 du 30 novembre 2015, consid. 4.1 ; TAF C-1916/2015 du 31 mai 2016 et réf. cit.). N’étant pas remise en cause par les arrêts TF 8C_841/2016 et 8C_130/2017 du 30 novembre 2017, il y a lieu de se tenir à cette jurisprudence.</w:t>
      </w:r>
    </w:p>
    <w:p>
      <w:r>
        <w:rPr>
          <w:b/>
        </w:rPr>
        <w:t>E. 4</w:t>
      </w:r>
    </w:p>
    <w:p>
      <w:r>
        <w:t>a)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w:t>
      </w:r>
    </w:p>
    <w:p>
      <w:r>
        <w:t>- 21 - pour apprécier la question de savoir quelle activité peut encore être raisonnablement exigible de la part de la personne assurée (ATF 125 V 256 consid. 4, 115 V 133 consid. 2, 114 V 310 consid. 3c et 105 V 156 consid. 1 ; TF 8C_761/2014 du 15 octobre 2015 consid. 3.4). 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Un rapport médical ne saurait au demeurant être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Pratique VSI 2001 p. 106 consid. 3b/bb et cc).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et 9C_268/2011 du 26 juillet 2011 consid. 6.1.2 et la jurisprudence citée). Cela vaut également lorsqu'un ou plusieurs médecins ont émis une</w:t>
      </w:r>
    </w:p>
    <w:p>
      <w:r>
        <w:t>- 22 - opinion divergeant de celle de l'expert (TF 9C_268/2011 précité loc. cit.; TF 9C_615/2015 du 12 janvier 2016 consid. 6.2).</w:t>
      </w:r>
    </w:p>
    <w:p>
      <w:r>
        <w:rPr>
          <w:b/>
        </w:rPr>
        <w:t>E. 5</w:t>
      </w:r>
    </w:p>
    <w:p>
      <w:r>
        <w:t>a) En premier lieu, il sied de relever que l’état de santé somatique du recourant n’est pas contesté, celui-ci présentant sur le plan physique une capacité de travail entière dans le respect de ses limitations fonctionnelles. Sur le plan psychiatrique, les experts du [...] ont retenu un état de stress post-traumatique, une anxiété généralisée, un épisode dépressif moyen sans syndrome somatique ainsi qu’un syndrome douloureux somatoforme persistant. Ils ont estimé que seul l’état de stress post traumatique avait une influence sur la capacité de travail, sous la forme d’une baisse de rendement pendant encore une durée de six mois. L’experte K.________ a également retenu un status après notion d’un syndrome de stress post-traumatique ainsi que des notions de douleurs chroniques, pouvant être intégrées dans un tableau de syndrome somatoforme douloureux persistant. Pour l’experte, la capacité de travail du recourant était pleine sur le plan strictement psychiatrique. b) Quant au Dr V.________, psychiatre traitant du recourant, il a fait état d’un trouble dépressif récurrent, épisode actuel moyen, avec syndrome somatique, d’une modification durable de la personnalité après traumatisme, d’une anxiété généralisée ainsi que d’un trouble somatoforme douloureux. A ce tableau clinique venait également s’ajouter une dépendance aux opiacés. Concernant la capacité de travail, le Dr V.________ a retenu dans son rapport du 6 avril 2016 qu’une activité de 30 à 40% sur des semaines relevait de l’illusoire. c) Sur la base des deux expertises précitées, l’intimé a accordé au recourant une rente entière d’invalidité dès le 1er novembre 2009 puis une demi-rente d’invalidité du 1er juin 2010 au 30 novembre 2010. Au-delà du 30 septembre 2010, l’intimé a retenu qu’une pleine capacité de travail était parfaitement exigible dans une activité adaptée. Le recourant a au contraire considéré que son état de santé ne s’était pas</w:t>
      </w:r>
    </w:p>
    <w:p>
      <w:r>
        <w:t>- 23 - amélioré, son degré d’invalidité s’étant maintenu à 55% au-delà du mois de septembre 2010.</w:t>
      </w:r>
    </w:p>
    <w:p>
      <w:r>
        <w:rPr>
          <w:b/>
        </w:rPr>
        <w:t>E. 6</w:t>
      </w:r>
    </w:p>
    <w:p>
      <w:r>
        <w:t>a)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(art. 7 al. 2 phr. 2 LPGA ; ATF 141 V 281 consid. 3.7.1, 127 V 294 consid. 4c in fine et 102 V 165 ;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(ATF 141 V 281 consid. 2.1 et 2.1.1 et 130 V 396 consid. 5.3 et 6). b) Dans deux arrêts récents (ATF 143 V 418 et ATF 143 V 409), le Tribunal fédéral a modifié sa pratique lors de l’examen du droit à une rente AI en cas de troubles psychiques. Il a considéré que même si la classification diagnostique est médicalement nécessaire et qu’un diagnostic posé selon les règles de l’art est indispensable, ce qui importe le plus est la question des effets fonctionnels d’un trouble sur la capacité de travail (ATF 130 V 418 consid. 6). Le Tribunal fédéral a dressé un parallèle entre la problématique des troubles psychiques et l’évolution récente de la jurisprudence concernant des troubles douloureux sans causes organiques explicables (troubles somatoformes douloureux) et troubles psychosomatiques analogues, développée dans l’ATF 141 V 281. Le Tribunal fédéral a en substance retenu que pour les maladies psychiques, et non seulement dans le cas de troubles somatoformes, le substrat nécessaire à l’administration d’une preuve directe permettant de conclure à une incapacité de travail faisait défaut. L’administration de la preuve doit donc se faire de manière indirecte, à l’aide d’indicateurs (ATF 143 V 418 consid. 7.1 et les références citées). En</w:t>
      </w:r>
    </w:p>
    <w:p>
      <w:r>
        <w:t>- 24 - fonction du tableau clinique, des ajustements devront être faits en conséquence lors de l’évaluation de certains indicateurs. Dans ce contexte, les Lignes directrices de qualité des expertises de psychiatrie d’assurance, établies le 16 juin 2016 par la Société suisse de psychiatrie et de psychothérapie (SSPP), faisant expressément référence à l’arrêt 141 V 281, gardent toute leur pertinence. Une administration des preuves structurées similaire à celle prévalant en matière de troubles somatoforme douloureux doit dès lors s’appliquer à toutes les maladies psychiques (ATF 143 V 418 consid. 7.2), dont les troubles affectifs et les troubles dépressifs de gravité légère ou moyenne, le critère de la résistance à la thérapie ne pouvant à lui-seul résoudre la question de l’incapacité de travail (ATF 143 V 418 consid. 7.1, 409 consid. 4.4 et 4.5.2). c) Au vu des pathologies psychiatriques retenues par les différents médecins au cours de la présente procédure, il se justifie d’examiner les critères d’évaluation développés par le Tribunal fédéral en matière d’évaluation du droit à une rente de l’AI en cas de troubles somatoformes douloureux et d’affections psychosomatiques assimilées (ATF 141 V 281 et jurisprudence citées). Dans cet arrêt, le Tribunal fédéral a donc abandonné la présomption selon laquelle ces syndromes peuvent être surmontés par un effort de volonté raisonnablement exigible (consid.</w:t>
      </w:r>
    </w:p>
    <w:p>
      <w:r>
        <w:rPr>
          <w:b/>
        </w:rPr>
        <w:t>E. 7</w:t>
      </w:r>
    </w:p>
    <w:p>
      <w:r>
        <w:t>a)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w:t>
      </w:r>
    </w:p>
    <w:p>
      <w:r>
        <w:t>- 29 -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b) En l’occurrence, au vu des lacunes de l’instruction, les faits pertinents n’ont pas été constatés de manière complète. Il se justifie par conséquent d’ordonner le renvoi de la cause à l’OAI, auquel il appartient au premier chef d’instruire, conformément au principe inquisitoire qui régit la procédure dans le domaine des assurances sociales (art. 43 al. 1 LPGA) ; le devoir d'instruction s'étendant jusqu'à ce que les faits nécessaires à l'examen des prétentions en cause soient suffisamment élucidés (TF 9C_88/2013 du 4 septembre 2013 consid. 4.1.2). L’intimé rendra ensuite une nouvelle décision après avoir complété l’instruction du dossier sur le plan médical par une évaluation psychiatrique.</w:t>
      </w:r>
    </w:p>
    <w:p>
      <w:r>
        <w:rPr>
          <w:b/>
        </w:rPr>
        <w:t>E. 8</w:t>
      </w:r>
    </w:p>
    <w:p>
      <w:r>
        <w:t>a) En définitive, le recours doit être admis et la décision attaquée annulée, la cause étant renvoyée à l’intimé pour complément d’instruction dans le sens des considérants, puis nouvelle décision.</w:t>
      </w:r>
    </w:p>
    <w:p>
      <w:r>
        <w:t>- 30 -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c) Le recourant, qui obtient gain de cause avec l'assistance d'un mandataire professionnel, a droit à des dépens, dont le montant droit être déterminé d’après l’importance et la complexité du litige (art. 61 let. g LPGA ; art. 10 et 11 TFJDA [tarif du 28 avril 2015 des frais judiciaires et des dépens en matière administrative ; RSV 173.36.5.1]). En l’espèce, les dépens sont arrêtés à 2’100 fr., TVA comprise, à la charge de l'intimé qui succombe (art. 55 al. 2 et 56 al. 2 LPA-VD). Ils couvrent le montant de la liste des opérations produite par le conseil d’office du recourant en date du 1er mai 2018, de telle sorte qu’aucune indemnité n’est due au titre de l’assistance judiciaire accordée au recourant par décision du 19 février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