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ZD17.051399 vom 24. Januar 2019</w:t>
      </w:r>
    </w:p>
    <w:p>
      <w:r>
        <w:t>VD Tribunal cantonal, 2019-01-24, FR</w:t>
      </w:r>
    </w:p>
    <w:p>
      <w:r>
        <w:rPr>
          <w:b/>
        </w:rPr>
        <w:t xml:space="preserve">Quelle: </w:t>
      </w:r>
      <w:r>
        <w:t>https://mcp.opencaselaw.ch/entscheid/vd_gerichte_ZD17.051399</w:t>
      </w:r>
    </w:p>
    <w:p>
      <w:r>
        <w:t>FR: VD_GERICHTE ZD17.051399 du 24 janvier 2019</w:t>
      </w:r>
    </w:p>
    <w:p>
      <w:r>
        <w:t>IT: VD_GERICHTE ZD17.051399 del 24 gennaio 2019</w:t>
      </w:r>
    </w:p>
    <w:p>
      <w:pPr>
        <w:pStyle w:val="Heading2"/>
      </w:pPr>
      <w:r>
        <w:t>Erwägungen</w:t>
      </w:r>
    </w:p>
    <w:p>
      <w:r>
        <w:rPr>
          <w:b/>
        </w:rPr>
        <w:t>E. 23</w:t>
      </w:r>
    </w:p>
    <w:p>
      <w:r>
        <w:t>août 2017 ne permet cependant de voir dans ces éléments une aggravation notable de l’état de santé de l’assurée, que ce soit sous l’angle de l’intensité des douleurs ou de leur impact concret. A ce propos, il est significatif de relever que suite à l’infiltration susdite, les médecins de la Clinique de chirurgie orthopédique de l’Hôpital R.________ se sont contentés d’adresser l’assurée à un spécialiste pour la gestion de l’antalgie en précisant pour le surplus qu’ils « ne prévoy[aient] pas de nouveau contrôle d’office mais rest[aient] à disposition si besoin » (cf. rapport du 13 juillet 2017 p. 2). Or, une telle attitude thérapeutique infirme de toute évidence la thèse d’une détérioration importante. En l’état, on ne peut donc voir là l’indice d’une péjoration notable de l’état de santé de la recourante.</w:t>
      </w:r>
    </w:p>
    <w:p>
      <w:r>
        <w:t>- 19 - On notera finalement qu’aucun des rapports médicaux produits devant l’OAI dans le cadre de la présente demande de révision ne vient étayer la réalisation d’une nouvelle intervention chirurgicale après celle du 29 août 2014, contrairement à ce qu’a fait valoir l’assurée (cf. demande de révision du 23 août 2017). Tout au plus peut-on supposer que la recourante ait voulu désigner par-là l’infiltration prodiguée au niveau de l’articulation sacro-iliaque. c) Dans le cadre de la procédure de recours, l’assurée a encore produit différents rapports médicaux – à savoir un compte-rendu des Drs M.________ et K.________ du 19 décembre 2017, un rapport de la Dresse B.________ du 7 février 2018, un compte-rendu de traitement ergothérapeutique du 19 mars 2018 et un avis psychiatrique établi le 6 août 2018 par le Dr J.________. Toutefois, ces documents ne peuvent être pris en considération dans le présent litige, puisque la Cour de céans doit examiner la situation d’après l’état de fait tel qu’il se présentait au moment où l’OAI a statué (cf. consid. 3a supra). Il demeure néanmoins loisible à la recourante, quoi qu’il en soit, de déposer une nouvelle demande de révision et de se prévaloir de ces rapports dans ce cadre. d) Au vu de ce qui précède, force est de constater que l’assurée n’a pas rendu plausible une modification de son état de santé susceptible d’influencer ses droits. Dans ces conditions, l’intimé était fondé à refuser d’entrer en matière sur la demande de révision déposée par l’intéressée le 23 août 2017.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w:t>
      </w:r>
    </w:p>
    <w:p>
      <w:r>
        <w:t>- 20 - Il n’y a pas lieu d’allouer de dépens, la recourante, au demeurant non représentée par un mandataire professionnel, n’obtenant pas gain de cause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