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ZD17.050967 vom 20. September 2018</w:t>
      </w:r>
    </w:p>
    <w:p>
      <w:r>
        <w:t>VD Tribunal cantonal, 2018-09-20, FR</w:t>
      </w:r>
    </w:p>
    <w:p>
      <w:r>
        <w:rPr>
          <w:b/>
        </w:rPr>
        <w:t xml:space="preserve">Quelle: </w:t>
      </w:r>
      <w:r>
        <w:t>https://mcp.opencaselaw.ch/entscheid/vd_gerichte_ZD17.050967</w:t>
      </w:r>
    </w:p>
    <w:p>
      <w:r>
        <w:t>FR: VD_GERICHTE ZD17.050967 du 20 septembre 2018</w:t>
      </w:r>
    </w:p>
    <w:p>
      <w:r>
        <w:t>IT: VD_GERICHTE ZD17.050967 del 20 settembre 2018</w:t>
      </w:r>
    </w:p>
    <w:p>
      <w:pPr>
        <w:pStyle w:val="Heading2"/>
      </w:pPr>
      <w:r>
        <w:t>Erwägungen</w:t>
      </w:r>
    </w:p>
    <w:p>
      <w:r>
        <w:rPr>
          <w:b/>
        </w:rPr>
        <w:t>E. 1</w:t>
      </w:r>
    </w:p>
    <w:p>
      <w:r>
        <w:t>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L’art. 69 al. 1 let. a LAI dispose qu’en dérogation aux art. 52 et 58 LPGA,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prévoit à cet égard la compétence de la Cour des assurances sociales du Tribunal cantonal (art. 93 let. a LPA.VD). c) Interjeté en temps utile (art. 60 al. 1 LPGA) et satisfaisant aux autres conditions de forme prévues par la loi (art. 61 let. b LPGA), le recours est recevable. Il y a donc lieu d’entrer en matière.</w:t>
      </w:r>
    </w:p>
    <w:p>
      <w:r>
        <w:rPr>
          <w:b/>
        </w:rPr>
        <w:t>E. 2</w:t>
      </w:r>
    </w:p>
    <w:p>
      <w:r>
        <w:t>Est en l’espèce litigieux le droit de la recourante à une allocation pour impotent.</w:t>
      </w:r>
    </w:p>
    <w:p>
      <w:r>
        <w:t>- 11 -</w:t>
      </w:r>
    </w:p>
    <w:p>
      <w:r>
        <w:rPr>
          <w:b/>
        </w:rPr>
        <w:t>E. 3</w:t>
      </w:r>
    </w:p>
    <w:p>
      <w:r>
        <w:t>a)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nécessitée de la vie, l’impotence est réputée faible ; l’art. 42bis al. 5 est réservé (al. 3).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w:t>
      </w:r>
    </w:p>
    <w:p>
      <w:r>
        <w:t>- 12 -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b) Selon une jurisprudence constante, ainsi que selon les chiffres 8010 et suivants de la Circulaire sur l’invalidité et l’impotence dans l’assurance-invalidité (ci-après : CIIAI), édictée par l’Office fédéral des assurances sociales (OFAS), dans leur teneur au 1er janvier 2017, les actes élémentaires de la vie quotidienne comprennent les six actes ordinaires suivants (ATF 127 V 94 consid. 3c ; 125 V 294 consid. 4a et les références) : - se vêtir et se dévêtir (éventuellement adapter la prothèse ou l’enlever) ; - se lever, s’asseoir et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w:t>
      </w:r>
    </w:p>
    <w:p>
      <w:r>
        <w:t>- 13 - - aller aux toilettes (se rhabiller, hygiène corporelle/vérification de la propreté, façon inhabituelle d’aller aux toilettes) ;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des fonctions dans plusieurs actes ordinaires (TF 8C_691/2014 du 16 octobre 2015 consid. 3.3 et les références). En revanche, si l’accomplissement d’un acte ordinaire de la vie est seulement rendu plus difficile ou ralenti par l’atteinte à la santé, cela ne signifie pas qu’il y ait impotence (TF 9C_360/2014 du 14 octobre 2014 consid. 4.4 et la référence). c) L’art. 38 al. 1 RAI dispose que le besoin d’accompagnement pour faire face aux nécessités de la vie au sens de l’art. 42 al. 3 LAI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Cet accompagnement ne comprend ni l’aide de tiers pour les six actes ordinaires de la vie, ni les soins ou la surveillance personnelle. Il représente bien plutôt une aide complémentaire et autonome, pouvant</w:t>
      </w:r>
    </w:p>
    <w:p>
      <w:r>
        <w:t>- 14 - être fournie sous forme d’une aide directe ou indirecte à des personnes atteintes dans leur santé physique, psychique ou mentale (ATF 133 V 450 ; TF 9C_432/2012 et 441/2012 du 31 août 2012 consid. 5.3.1 ; 9C_907/2011 du 21 mai 2012 consid. 2 et les références).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1er juin 2015 consid. 3.6 et les références).</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Le juge apprécie librement les preuves, sans être lié par des règles formelles, en procédant à une appréciation complète et rigoureuse de celles-ci (cf. art. 61 let. c LPGA). Dans le domaine médical, le juge doit examiner de manière objective tous les moyens de preuves, quelle qu'en soit la provenance, avant de décider si les documents à disposition permettent de porter un jugement valable sur le droit litigieux (TF 9C_168/2007 du 8 janvier 2008 consid. 4.2). b) Une enquête effectuée au domicile de la personne assurée constitue en règle générale une base appropriée et suffisante pour évaluer les handicaps de celle-ci. En ce qui concerne la valeur probante d’un tel</w:t>
      </w:r>
    </w:p>
    <w:p>
      <w:r>
        <w:t>- 15 -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(Michel Valterio, Droit de l’assurance-vieillesse et survivants [AVS] et de l’assurance-invalidité [AI], Genève/Zurich/Bâle 2011, n° 2264, p. 610). En présence de troubles psychiques notamment, et en cas de divergences entre les résultats de l’enquête économique sur le ménage et les constatations d’ordre médical relatives à la capacité d’accomplir les travaux habituels, celles-ci ont en règle générale plus de poids que l’enquête à domicile (TF 8C_671/2007 du 13 juin 2008 consid. 3.2.1 ; TFA [Tribunal fédéral des assurances] I 311/03 du 22 décembre 2003 consid. 5.3 in VSI 2004 p. 139 s.). Une telle priorité de principe est justifiée par le fait qu’il est souvent difficile pour la personne chargée de l’enquête à</w:t>
      </w:r>
    </w:p>
    <w:p>
      <w:r>
        <w:t>- 16 - domicile de reconnaître et d’apprécier l’ampleur de l’atteinte psychique et les empêchements en résultant (TF 9C_108/2009 du 29 octobre 2009 consid. 4.1).</w:t>
      </w:r>
    </w:p>
    <w:p>
      <w:r>
        <w:rPr>
          <w:b/>
        </w:rPr>
        <w:t>E. 5</w:t>
      </w:r>
    </w:p>
    <w:p>
      <w:r>
        <w:t>Le 11 janvier 2016, la recourante a déposé une demande de prestations de l’assurance-invalidité tendant à l’octroi d’une allocation pour impotent ainsi que de moyens auxiliaires. Dans le cadre de l’instruction de cette demande, l’office AI a fait procéder à une enquête d’impotence au domicile de l’intéressée le 2 mars 2017. Un examen clinique rhumatologique et psychiatrique a également été effectué par le SMR en date du 8 juin 2017. a) Il convient tout d’abord de constater que l’enquête sur place au sens de l’art. 69 al. 2 RAI répond aux exigences jurisprudentielles (cf. aussi sur cette question Valterio, op. cit., n° 2264, p. 610). Le rapport du 6 mars 2017 contient en effet une description détaillée des conditions de vie de la recourante ainsi qu'une analyse circonstanciée des tâches qu'elle peut et ne peut plus réaliser, en tenant compte du diagnostic médical. L’enquêtrice connaissait la nature des atteintes physiques et a été informée directement par l’assurée des limitations fonctionnelles que ces atteintes physiques entraînaient. La description des empêchements rencontrés par l’assurée dans les actes ordinaires de la vie n’est pas contredite par les autres éléments du dossier, notamment le rapport d’examen clinique établi postérieurement par le SMR. b) Dans leur rapport du 24 juillet 2017, les médecins du SMR soulignent que, grâce aux moyens auxiliaires obtenus (planche de bains, fauteuil roulant manuel, tabouret pour la salle de bains et scooter électrique), l’assurée est capable de gérer son quotidien. Tout en envisageant le remplacement des roues de la chaise roulante par des roues à propulsion électrique afin de ménager les épaules et le membre inférieur gauche, ils relèvent que, moyennant diverses adaptations (accélérateur à gauche ou au volant et acquisition d’un treuil pour ranger la chaise roulante sur le toit du véhicule ou dans le coffre), l’intéressée est capable de reprendre la conduite automobile. L’utilisation d’une canne,</w:t>
      </w:r>
    </w:p>
    <w:p>
      <w:r>
        <w:t>- 17 - voire de deux cannes, lui donnerait en outre une autonomie totale. En ce qui concerne l’adaptation du logement de l’assurée, les médecins du SMR indiquent que ses difficultés résident dans l’exiguïté de la salle de bains et l’accès à celle-ci. Compte tenu du sol rendu glissant par l’humidité qui y règne, l’intéressée est contrainte de se tenir aux meubles pour se déplacer. Selon les auteurs du rapport précité, il pourrait être remédié à ce désagrément en appliquant une surface antidérapante sur le sol et dans la baignoire pour éviter les glissades. La mise en place d’une poignée au mur pourrait également aider l’assurée pour les transferts et lui permettre de se stabiliser. A cela s’ajoute que si elle ne fait pas état de difficultés pour se vêtir ou se dévêtir, la recourante se dit néanmoins dépendante de son époux pour se rhabiller après avoir été aux toilettes, surtout lorsqu’elle porte des vêtements serrés. Or, rien ne l’empêche de porter des habits adaptés, ce qu’elle fait déjà à domicile. Pour l’essentiel, les obstacles rencontrés peuvent donc être contournés que cela soit par des moyens auxiliaires, l’adaptation du logement au handicap de l’assurée, voire par une stratégie consistant en la mise en place de diverses formes d’aide ou toute autre manière de faire. c) Enfin, l’assurée avait confié à l’enquêtrice l’existence d’un trouble dépressif et de troubles mnésiques en relation avec l’état dépressif (cf. ch. 2.2 du rapport d’enquête sur l’impotence du 6 mars 2017). L’enquêtrice ne les ignorait donc pas. Elle en discute en relation avec le besoin d’accompagnement (cf. ch. 4.2 du rapport précité) et ses observations ne sont pas contredites par l’examen clinique psychiatrique du SMR effectué quelques semaines plus tard. Il est vrai que l’enquêtrice n’avait pas connaissance des limitations fonctionnelles retenues sur le plan psychiatrique dans le cadre de l’examen clinique réalisé au SMR. Cette ignorance n’est en l’état pas déterminante, vu le sort du recours.</w:t>
      </w:r>
    </w:p>
    <w:p>
      <w:r>
        <w:rPr>
          <w:b/>
        </w:rPr>
        <w:t>E. 6</w:t>
      </w:r>
    </w:p>
    <w:p>
      <w:r>
        <w:t>Ceci exposé, il convient à ce stade d’aborder les griefs précis de la recourante relatifs à la violation de son devoir d’instruction par l’office AI s’agissant du besoin d’accompagnement pour faire face aux nécessités de la vie.</w:t>
      </w:r>
    </w:p>
    <w:p>
      <w:r>
        <w:t>- 18 - a) La recourante fait valoir une dégradation de son état de santé psychique apparue dans le courant de l’été 2017, soit postérieurement à l’enquête d’impotence à domicile et à l’examen clinique du SMR mais antérieurement à la décision litigieuse. Il sera encore précisé que la non réception par l’office AI des documents déterminants ne revêt aucune incidence dans le cas d’espèce (cf. réponse du 17 janvier 2018). b) De son côté, l’office AI se prévaut de l’avis du SMR du 8 janvier 2018 pour considérer qu’il n’y a pas matière à nouvelle appréciation. A lire cet avis, on constate que le SMR se concentre plus particulièrement sur le numéro de code CIM F 23.9, savoir le caractère aigu et transitoire du trouble psychotique, respectivement la brièveté de la psychose réactionnelle, pour réfuter l’existence d’une aggravation. Or, si le rapport du 19 février 2018 de la Dresse F.________ et de la psychologue J.________ mentionne effectivement ce code, c’est, d’une part, en relation avec un diagnostic de trouble psychotique qualifié de chronique. D’autre part, il apparaît à la lecture de ce rapport que l’épisode d’hallucinations n’est pas isolé. Il est en effet fait mention de plusieurs épisodes, avec diminution et augmentation des hallucinations, et non d’un seul épisode qui aurait conduit à l’hospitalisation à l’Hôpital psychiatrique L.________. Les auteures du rapport auraient à tout le moins dû être interpellées en vue de lever cette apparente contradiction. Par ailleurs, il est inapproprié de relever l’absence de mention, dans le rapport des prénommées du 9 octobre 2017, d’une « description clinique (…) permettant d’objectiver une modification notable des limitations fonctionnelles » alors que rien n’indique que la question des limitations fonctionnelles, de surcroît en relation avec le besoin d’accompagnement pour faire face aux nécessités de la vie, ait été posée à ses auteures. Au vu de la jurisprudence accordant un poids privilégié à l’appréciation médicale en présence de troubles psychiques, il se justifiait d’obtenir un complément d’information auprès de la Dresse F.________. c) Il se justifie par conséquent d’ordonner le renvoi de la cause à l’office AI – à qui il appartient au premier chef d’instruire, conformément</w:t>
      </w:r>
    </w:p>
    <w:p>
      <w:r>
        <w:t>- 19 - au principe inquisitoire qui régit la procédure dans le domaine des assurances sociales (art. 43 al. 1 LPGA) –, cette solution apparaissant comme la plus opportune. Il incombera ainsi à l’intimé de mettre en œuvre les mesures d’instruction nécessaires afin de déterminer s’il y a eu aggravation de l’état de santé psychique postérieurement à l’examen clinique du SMR, cas échéant avec quelles limitations fonctionnelles, une nouvelle enquête à domicile s’imposant quel que soit le résultat du complément d’instruction médical dans la mesure où, lors de l’enquête de mars 2017, l’enquêtrice n’avait pas connaissance exacte de l’état de santé psychique de la recourante.</w:t>
      </w:r>
    </w:p>
    <w:p>
      <w:r>
        <w:rPr>
          <w:b/>
        </w:rPr>
        <w:t>E. 7</w:t>
      </w:r>
    </w:p>
    <w:p>
      <w:r>
        <w:t>En définitive, le recours doit être admis et la décision attaquée annulée, la cause étant renvoyée à l’office intimé pour complément d’instruction au sens des considérants puis nouvelle décision.</w:t>
      </w:r>
    </w:p>
    <w:p>
      <w:r>
        <w:rPr>
          <w:b/>
        </w:rPr>
        <w:t>E. 8</w:t>
      </w:r>
    </w:p>
    <w:p>
      <w:r>
        <w:t>a)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l’intimé, qui succombe (art. 69 al. 1bis LAI et 49 al. 1 LPA-VD). b) La recourante, qui obtient gain de cause avec l’assistance d’une mandataire professionnelle, a droit à des dépens, qu’il convient, compte tenu de l’importance et de la complexité du litige, de fixer à 2'000 fr., à la charge de l’intimé (art. 61 let. g LPGA et 55 LPA-VD ; cf. également art. 11 TFJDA [tarif cantonal vaudois du 28 avril 2015 des frais judiciaires et des dépens en matière administrative ; RSV 173.36.5.1]).</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