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ZD17.045707 vom 8. Februar 2018</w:t>
      </w:r>
    </w:p>
    <w:p>
      <w:r>
        <w:t>VD Tribunal cantonal, 2018-02-08, FR</w:t>
      </w:r>
    </w:p>
    <w:p>
      <w:r>
        <w:rPr>
          <w:b/>
        </w:rPr>
        <w:t xml:space="preserve">Quelle: </w:t>
      </w:r>
      <w:r>
        <w:t>https://mcp.opencaselaw.ch/entscheid/vd_gerichte_ZD17.045707</w:t>
      </w:r>
    </w:p>
    <w:p>
      <w:r>
        <w:t>FR: VD_GERICHTE ZD17.045707 du 8 février 2018</w:t>
      </w:r>
    </w:p>
    <w:p>
      <w:r>
        <w:t>IT: VD_GERICHTE ZD17.045707 del 8 febbraio 2018</w:t>
      </w:r>
    </w:p>
    <w:p>
      <w:pPr>
        <w:pStyle w:val="Heading2"/>
      </w:pPr>
      <w:r>
        <w:t>Erwägungen</w:t>
      </w:r>
    </w:p>
    <w:p>
      <w:r>
        <w:rPr>
          <w:b/>
        </w:rPr>
        <w:t>E. 1</w:t>
      </w:r>
    </w:p>
    <w:p>
      <w:r>
        <w:t>Quelle est la capacité de travail (médico-théorique, en faisant abstraction du niveau de formation) dans une activité de type sédentaire, ne comportant pas d’efforts physiques lourds ?</w:t>
      </w:r>
    </w:p>
    <w:p>
      <w:r>
        <w:rPr>
          <w:b/>
        </w:rPr>
        <w:t>E. 2</w:t>
      </w:r>
    </w:p>
    <w:p>
      <w:r>
        <w:t>Le litige porte sur le droit du recourant à une rente de l’assurance-invalidité.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w:t>
      </w:r>
    </w:p>
    <w:p>
      <w:r>
        <w:t>- 7 -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citées).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w:t>
      </w:r>
    </w:p>
    <w:p>
      <w:r>
        <w:t>- 8 - connaissance de l'anamnèse, que la description des interférences médicales soit claire et enfin que les conclusions de l'expert soient dûment motivées (ATF 134 V 231 consid. 5.1 ; 125 V 351 consid. 3a ; TF 8C_75/2017 du 24 octobre 2017 consid. 3.4).</w:t>
      </w:r>
    </w:p>
    <w:p>
      <w:r>
        <w:rPr>
          <w:b/>
        </w:rPr>
        <w:t>E. 4</w:t>
      </w:r>
    </w:p>
    <w:p>
      <w:r>
        <w:t>a) Sur le plan médical, malgré l’opération subie le 14 décembre 2015, le recourant reste limité au niveau pulmonaire et présente une dyspnée induite par un syndrome restrictif (rapports du 1er février 2017 de la Dresse X.________ et du 5 octobre 2017 de la Dresse K.________ ; avis SMR du 31 janvier 2017 du Dr D.________). b) S’agissant des limitations fonctionnelles, la Dresse X.________ mentionne des restrictions dans toute activité autre qu’une activité assise, ainsi que pour les déplacements et les efforts (rapport du 1er février 2017). Le Dr D.________ du SMR considère quant à lui l’activité habituelle et les activités physiques lourdes comme inadaptées (avis SMR des 31 janvier, 1er mars et 27 novembre 2017). Il suggère une activité sédentaire ne comportant pas d’effort physique lourd (avis SMR du 27 novembre 2017). La Dresse K.________ estime pour sa part que la possibilité de réinsertion dans une autre profession que l’activité de maçon est très limitée au vu du fonctionnement psychique du recourant et de son niveau de formation de base (rapport du 5 octobre 2017). En premier lieu, on relève que le recourant n’a repris son activité habituelle qu’à 50 % dès le 30 juin 2016, soit de manière réduite en raison de la dyspnée et d’une fatigabilité (rapport de la Dresse X.________ du 1er février 2017). A l’évidence, l’activité habituelle n’est plus exigible au regard des contrainte inhérentes au travail de maçon et vu la situation médicale du recourant ainsi que ses limitations fonctionnelles. Les motifs que la Dresse K.________ invoque pour exclure une activité autre que celle de maçon ne sont toutefois pas d’ordre médical. On ne saurait dès lors en tenir compte. De plus, les tâches administratives et de gestion au sein la société du recourant ne sont pas suffisantes pour justifier une activité à plein temps au sein de l’entreprise (enquête économique pour les indépendants du 25 avril 2017). Partant, il</w:t>
      </w:r>
    </w:p>
    <w:p>
      <w:r>
        <w:t>- 9 - n’y a pas lieu de s’écarter du point de vue du SMR, selon lequel l’activité habituelle de maçon n’est plus exigible en raison de la dyspnée induite par le syndrome restrictif et des limitations fonctionnelles qui en résultent. c) Le recourant conteste l’exigibilité à 100 % d’une activité adaptée aux limitations fonctionnelles, notamment sur la base du rapport médical du 5 octobre 2017 de la Dresse K.________, qui fait état de difficultés qu’il pourrait rencontrer dans une activité adaptée, sans néanmoins détailler les raisons médicales qui conduisent à un tel constat. Le Dr D.________ du SMR retient pour sa part une capacité de travail de 100 % dans une activité adaptée (avis des 31 janvier et 1er mars 2017). Il admet toutefois dans son avis médical du 27 novembre 2017 que l’appréciation d’une pleine capacité dans une activité adaptée est contestable dès lors qu’aucun rapport médical ne l’atteste. A la lumière notamment de cet avis médical du SMR, la question de l’exigibilité de l’exercice d’une activité lucrative adaptée aux limitations fonctionnelles reste indécise. Compte tenu des atteintes à la santé présentées par le recourant et des limitations fonctionnelles que celles-ci induisent, il semble en effet judicieux de procéder à une analyse plus poussée de la question de l’exigibilité de l’exercice d’une activité adaptée. d) Au vu de ce qui précède, l’intimé ne pouvait pas rendre une décision quant au droit à la rente du recourant, sans procéder plus avant à des investigations quant à l’exigibilité d’une activité adaptée. A ce stade, il n’appartient toutefois pas au Tribunal d’ordonner la forme que doit prendre cette instruction, mais à l’intimé de mettre en œuvre les mesures d’instruction idoines aux fins d’éclaircir la question faisant l’objet du considérant 4c ci-dessus conformément au principe inquisitoire qui régit la procédure dans le domaine des assurances sociales (art. 43 al. 1 LPGA).</w:t>
      </w:r>
    </w:p>
    <w:p>
      <w:r>
        <w:rPr>
          <w:b/>
        </w:rPr>
        <w:t>E. 5</w:t>
      </w:r>
    </w:p>
    <w:p>
      <w:r>
        <w:t>a) En conclusion, le recours doit être admis et la cause renvoyée à l’OAI pour complément d’instruction dans le sens des</w:t>
      </w:r>
    </w:p>
    <w:p>
      <w:r>
        <w:t>- 10 - considérants, puis nouvelle décision. Dans ce contexte, il appartiendra à l’OAI de réexaminer le droit du recourant à d’éventuels mesures d’ordre professionnel, après l’avoir rendu attentif au caractère inapproprié de la poursuite de son activité habituelle (cf. TF 9C_236/2009 du 7 octobre 2009 consid. 4.3 in fine).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c) Il n’y a pas lieu d’allouer de dépens, le recourant ayant agi sans le concours d’un mandataire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