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ZD17.045445 vom 5. September 2018</w:t>
      </w:r>
    </w:p>
    <w:p>
      <w:r>
        <w:t>VD Tribunal cantonal, 2018-09-05, FR</w:t>
      </w:r>
    </w:p>
    <w:p>
      <w:r>
        <w:rPr>
          <w:b/>
        </w:rPr>
        <w:t xml:space="preserve">Quelle: </w:t>
      </w:r>
      <w:r>
        <w:t>https://mcp.opencaselaw.ch/entscheid/vd_gerichte_ZD17.045445</w:t>
      </w:r>
    </w:p>
    <w:p>
      <w:r>
        <w:t>FR: VD_GERICHTE ZD17.045445 du 5 septembre 2018</w:t>
      </w:r>
    </w:p>
    <w:p>
      <w:r>
        <w:t>IT: VD_GERICHTE ZD17.045445 del 5 settembre 2018</w:t>
      </w:r>
    </w:p>
    <w:p>
      <w:pPr>
        <w:pStyle w:val="Heading2"/>
      </w:pPr>
      <w:r>
        <w:t>Erwägungen</w:t>
      </w:r>
    </w:p>
    <w:p>
      <w:r>
        <w:rPr>
          <w:b/>
        </w:rPr>
        <w:t>E. 10</w:t>
      </w:r>
    </w:p>
    <w:p>
      <w:r>
        <w:t>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w:t>
      </w:r>
    </w:p>
    <w:p>
      <w:r>
        <w:t>- 10 - V 310 consid. 3c; 105 V 156 consid. 1; TFA I 274/05 du 21 mars 2006 consid. 1.2). 5. Dans le cas d’espèce, il convient de se pencher sur les circonstances (médicales ou économiques) liées à la personne de l’assuré et d’examiner si elles se sont modifiées entre la décision du 10 octobre 2013 et la décision attaquée du 20 septembre 2017 au point d’influencer le degré d’invalidité du recourant. a) aa) En premier lieu, il sied de constater que les nouvelles atteintes que sont le diabète de type II et la sténose de l’urètre (cf. notamment demande de prestations du 3 octobre 2016 ainsi que les rapports du Dr Z.________ et du Dr G.________ datés respectivement du 30 janvier 2017 et du 2 mars 2017) ne sont selon toute vraisemblance pas incapacitantes, en l’absence de rapport médical allant dans ce sens. bb) Le rapport du Dr Z.________ du 30 janvier 2017 mentionne les diagnostics de lombo-pygialgies chroniques, de gonalgies gauches dans le cadre de troubles dégénératifs, d’un déconditionnement musculaire et d’un diabète de type II. Tout en précisant, dans son précédent rapport du 28 mars 2013, n’avoir vu l’assuré qu’une seule fois en date du 19 juin 2008, le Dr Z.________ diagnostiquait alors des lombalgies chroniques avec sciatalgies gauches intermittentes dans des discopathies L4-L5, L5-S1 avec une hernie discale L5-S1 paramédiane gauche ainsi qu’un déconditionnement physique. Sous réserve des gonalgies gauches et du diabète de type II, ces diagnostics sont quasiment superposables à ceux posés en 2017. Les gonalgies gauches sont l’expression des plaintes de l’assuré (cf. rapport médical du 30 janvier 2017, ch. 1.4). Dans le cadre de l’examen clinique, le Dr Z.________ ne relève rien de particulier à leur propos et le status neurologique des membres inférieurs est dans la norme. Dans son rapport du 8 juin 2017, il fait d’ailleurs mention d’un soulagement des gonalgies ensuite de l’introduction d’un traitement médicamenteux (Condrosulf) et observe qu’il y a peu de changement pour le surplus s’agissant de la</w:t>
      </w:r>
    </w:p>
    <w:p>
      <w:r>
        <w:t>- 11 - symptomatologie douloureuse lombaire par rapport à la situation de janvier 2017. Quant à la hernie discale, le Dr Z.________ ne la cite plus expressément en tant que diagnostic dans son rapport du 30 janvier 2017. On peut supposer qu’elle doit être comprise dans la mention des troubles dégénératifs et, dans le cadre de son examen clinique, le Dr Z.________ ne donne aucune indication particulière en relation avec cette hernie de telle sorte que l’on doit en déduire que celle-ci n’a pas évolué depuis 2008 (cf. CT scan lombaire du 7 janvier 2008) au point d’influencer l’état de santé de l’assuré. S’agissant des cervicalgies (cf. rapport du Dr G.________ du 18 mars 2016), l’examen clinique du 4 janvier 2017 ne révèle rien de particulier. Par ailleurs, il ressort des dires de l’assuré lui-même que le bilan radiologique est rassurant, ce qui laisse supposer qu’aucune péjoration des atteintes à la colonne vertébrale n’a été objectivée. Enfin, il ressort des deux rapports du Dr Z.________ des 30 janvier et 8 juin 2017 que moyennant un reconditionnement musculaire, son patient pourrait travailler dans une activité adaptée et légère, avec des ports de charges limités à 5-10 kg. b) A lire l’annexe au rapport médical du Dr G.________ du 2 mars 2017, l’assuré ne pourrait travailler que dans une position assise et sans port de charges supérieures à 5 kg. Il précise, s’agissant de l’activité sédentaire, que son patient présente des douleurs au dos après 3 heures. Il relaie ainsi les plaintes de son patient sans se prononcer sur l’objectivité de cette allégation en lien avec les atteintes diagnostiquées. Ce médecin fait également mention d’une capacité d’adaptation et d’une résistance limitées, sans cependant en préciser le genre. En fin de compte, dans son dernier certificat médical du 9 février 2018, le Dr G.________ atteste de la nécessité de mesures de réadaptation en vue d’un travail adapté avec port de charges limité à 5 kg. Il peut en être déduit que pour le médecin traitant, une capacité de travail dans une activité adaptée est finalement envisageable. Ni ce médecin, ni aucun autre médecin ne fait mention d’une quelconque diminution de rendement dans une activité adaptée de telle sorte que le grief formulé dans le recours s’agissant de l’absence de prise en compte par l’office AI d’une diminution de rendement ne saurait être retenu.</w:t>
      </w:r>
    </w:p>
    <w:p>
      <w:r>
        <w:t>- 12 - Les limitations fonctionnelles résultant des atteintes du rachis ne se sont pas sensiblement modifiées entre 2013 et 2016, contrairement à ce que soutient le recourant. Le Dr Z.________ envisage des ports de charges jusqu’à 10 kg (cf. rapport du 8 juin 2017). Même dans l’hypothèse où le port de charges devait effectivement être limité à 5 kg, il n’affecterait pas la capacité de travail, laquelle demeure à 100%, nonobstant les certificats d’incapacité de travail délivrés par le médecin traitant (cf. notamment les certificats du Dr G.________ des 22 février 2016, 18 mars 2016 et 30 septembre 2017), lesquels doivent être appréciés avec la réserve usuelle (cf. ATF 125 V 351 consid. 3b/cc). Quoi qu’il en soit, le marché du travail offre un choix suffisamment diversifié et vaste d’activités simples et répétitives compatibles avec les limitations fonctionnelles du recourant. c) L’analyse du dossier médical dans son ensemble permet d’admettre que l’état de santé du recourant est resté globalement stable entre 2013 et 2017, en l’absence d’une modification des circonstances propres à justifier une aggravation de l'invalidité. 6. Le recourant sollicite l’octroi de mesures de réadaptation professionnelle. a)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4223 n. 1.1.1.2). L’examen d’un éventuel droit à des prestations de l’assurance- 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w:t>
      </w:r>
    </w:p>
    <w:p>
      <w:r>
        <w:t>- 13 - aptes à atténuer les conséquences de l’atteinte à la santé (ATF 139 V 399 consid. 5.1 ; 138 I 205 consid. 3.1). Ainsi, en vertu du principe de la priorité de la réadaptation sur la rente, ancré à l’art. 28 al. 1 let. a LAI, la rente doit céder le pas aux mesures de réadaptation qui visent à rétablir, à développer et à sauvegarder la capacité de gain ou celle d’accomplir les travaux habituels (Michel Valterio, Droit de l’assurance-vieillesse et survivants [AVS] et de l’assurance-invalidité [AI], Genève/Zurich/Bâle 2011, p. 532 n° 2016 et les références citées). La conséquence de ce principe est qu’avant de se prononcer sur le droit à la rente, les offices AI doivent examiner d’office, sans égard à la demande présentée par l’assuré, toutes les possibilités de réadaptation qui pourraient être nécessaires et de nature à rétablir sa capacité de gain ou d’accomplir les travaux habituels, à l’améliorer, à la sauvegarder ou à en favoriser l’usage (Valterio, op. cit., p. 533 n° 2018 et les références citées). b) L'art. 8 al. 1 LAI pose le principe de l'octroi, en faveur des assurés invalides ou menacés d'une invalidité imminente, de mesures de réadaptation nécessaires et de nature à rétablir leur capacité de gain, à l'améliorer ou à la sauvegarder ou à en favoriser l'usage. Selon l'art. 8 al. 3 let. b LAI, les mesures de réadaptation comprennent les mesures d'ordre professionnel au sens de l'art. 15 à 18 LAI.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c) En l’espèce, le degré d’incapacité de gain (5%) est largement inférieur au degré d’environ 20% retenu par la jurisprudence.</w:t>
      </w:r>
    </w:p>
    <w:p>
      <w:r>
        <w:t>- 14 - Au demeurant le revenu tiré des activités professionnelles antérieures aux atteintes à la santé s’avère inférieur (cf. extrait du compte individuel AVS du 26 janvier 2017) au revenu statistique tiré de l’Enquête suisse sur la structure des salaires en matière d’activités simples et répétitives, lesquelles sont accessibles à l’assuré (cf. décision du 10 octobre 2013). Par ailleurs, il convient d’admettre que le marché du travail offre un large éventail d'activités légères, dont on doit convenir qu'un nombre significatif sont adaptées aux limitations du recourant et accessibles sans aucune formation particulière. A titre d'exemples, on peut citer des tâches simples de surveillance, de vérification ou de contrôle. On relèvera pour finir que, dans son rapport du 30 janvier 2017, le Dr Z.________ observe que l’assuré présente des rachialgies chroniques dans le contexte d’un déconditionnement global mais aussi certainement social. Il émet en conséquence un pronostic réservé, dépendant beaucoup de l’investissement de l’assuré. Il ressort par ailleurs de son dernier rapport du 8 juin 2017 que le réentraînement musculaire n’est plus poursuivi. Il sied ici de souligner que, dans le domaine de l’assurance-invalidité, on applique de manière générale le principe selon lequel un invalide doit, avant de requérir des prestations, entreprendre tout ce qu’on peut raisonnablement attendre de lui, pour atténuer le mieux possible les conséquences de son invalidité. L’obligation de diminuer le dommage s’applique aux aspects de la vie les plus variés (cf. TF 9C_661/2016 du 19 avril 2017 consid. 2.3 et les références). Ceci rappelé, il incombe en premier lieu à l’assuré de se conformer aux mesures thérapeutiques qui lui sont recommandées par le corps médical. Quant aux facteurs sociaux susceptibles d’entraver l’accessibilité au marché du travail, ils ne relèvent pas de l’assurance-invalidité. En effet, le caractère irréaliste des possibilités de travail doit alors découler de l'atteinte à la santé – puisqu'une telle atteinte est indispensable à la reconnaissance de l'invalidité (art. 7 et 8 LPGA) – et non de facteurs psychosociaux ou socioculturels qui sont étrangers à la définition juridique de l'invalidité (ATF 127 V 294 consid. 5a ; TF 9C_286/2015 du 12 janvier 2016 consid. 4.2 et les références).</w:t>
      </w:r>
    </w:p>
    <w:p>
      <w:r>
        <w:t>- 15 - 7. En définitive, en déniant le droit du recourant aux prestations de l’assurance-invalidité (rente et mesures d’ordre professionnel) motif pris que son degré d’invalidité n’avait pas changé depuis la décision du 10 octobre 2013, la décision attaquée échappe à la critique. Il s’ensuit que le recours, mal fondé, doit être rejeté, ce qui entraîne la confirmation de la décision du 20 septembre 2017. 8. a)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de les arrêter à 400 fr. et de les mettre à la charge du recourant, qui succombe (art. 49 al. 1 LPA-VD, applicable par renvoi des art. 91 et 99 LPA-VD). Toutefois, dès lors que ce dernier a été mis au bénéfice de l’assistance judiciaire, ces frais sont laissés provisoirement à la charge de l’Etat. b) Il n’y a pas lieu d’allouer de dépens, le recourant n’obtenant pas gain de cause (art. 61 let. g LPGA a contrario ; art. 55 LPA-VD). c) Par décision de la magistrate instructrice du 16 novembre 2017, le recourant a été mis au bénéfice de l’assistance judiciaire et obtenu à ce titre la commission d’un avocat d’office en la personne de Me François Gillard. Celui-ci a produit sa liste des opérations le 26 avril 2018, laquelle rentre globalement dans le cadre de l’accomplissement du mandat confié. Partant, il convient de retenir 7 heures et 20 minutes de prestations d’avocat rémunérées à un tarif horaire de 180 fr. (cf. art. 2 al. 1 let. a RAJ [règlement cantonal vaudois du 7 décembre 2010 sur l’assistance judiciaire en matière civile ; RSV 211.02.3]), ce qui correspond à un montant total d’honoraires s’élevant à 1'320 fr. auquel il y a lieu d’ajouter 36 fr. 20 de débours.</w:t>
      </w:r>
    </w:p>
    <w:p>
      <w:r>
        <w:t>- 16 - A ces montants, il convient d’ajouter la TVA. Dès lors que Me Gillard ne précise pas quelles opérations ont été effectuées jusqu’au 31 décembre 2017 – date jusqu’à laquelle le taux de TVA était de 8% – ou dès le 1er janvier 2018 – date à compter de laquelle ce taux est de 7,7% –, c’est le taux unique de 8% tel que retenu par le conseil d’office que l’on appliquera dans le cas d’espèce. L’indemnité totale sera donc arrêtée à 1'464 fr. 70. d) Le recourant est rendu attentif au fait qu’il est tenu de rembourser le montant pris en charge par le canton dès qu’il sera en mesure de le faire (art. 123 al. 1 CPC [code fédéral de procédure civile du 19 décembre 2008 ; RS 272], applicable par renvoi de l’art. 18 al. 5 LPA- 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