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ZD17.044769 vom 30. Januar 2018</w:t>
      </w:r>
    </w:p>
    <w:p>
      <w:r>
        <w:t>VD Tribunal cantonal, 2018-01-30, FR</w:t>
      </w:r>
    </w:p>
    <w:p>
      <w:r>
        <w:rPr>
          <w:b/>
        </w:rPr>
        <w:t xml:space="preserve">Quelle: </w:t>
      </w:r>
      <w:r>
        <w:t>https://mcp.opencaselaw.ch/entscheid/vd_gerichte_ZD17.044769</w:t>
      </w:r>
    </w:p>
    <w:p>
      <w:r>
        <w:t>FR: VD_GERICHTE ZD17.044769 du 30 janvier 2018</w:t>
      </w:r>
    </w:p>
    <w:p>
      <w:r>
        <w:t>IT: VD_GERICHTE ZD17.044769 del 30 gennaio 2018</w:t>
      </w:r>
    </w:p>
    <w:p>
      <w:pPr>
        <w:pStyle w:val="Heading2"/>
      </w:pPr>
      <w:r>
        <w:t>Erwägungen</w:t>
      </w:r>
    </w:p>
    <w:p>
      <w:r>
        <w:rPr>
          <w:b/>
        </w:rPr>
        <w:t>E. 8</w:t>
      </w:r>
    </w:p>
    <w:p>
      <w:r>
        <w:t>janvier 2018 et précisé que l’OAI s’était une nouvelle fois mépris sur la nature exacte de son activité habituelle (installateur sanitaire et non agent technico-commercial).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w:t>
      </w:r>
    </w:p>
    <w:p>
      <w:r>
        <w:t>- 11 -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le 17 octobre 2017 contre la décision de l’intimé du 25 septembre 2017 a été interjeté en temps utile. En dépit d’une motivation succincte, il respecte les conditions de forme prévues par la loi, au sens notamment de l’art. 61 let. b LPGA. Il est en conséquence recevable de sorte qu’il y a lieu de statuer sur le fond. 2. In casu, sont litigieux le droit à la rente du recourant, respectivement la réalisation des conditions mises à la reconnaissance d’une invalidité. Le recourant fait par ailleurs valoir des griefs d’ordre formel relativement à la lettre et à la motivation de la décision rendue le 25 septembre 2017 par l’intimé. 3. a)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 125 II 369 consid. 2c). En règle générale,</w:t>
      </w:r>
    </w:p>
    <w:p>
      <w:r>
        <w:t>- 12 - l'étendue de l'obligation de motiver dépend de la complexité de l'affaire à juger, de la liberté d'appréciation dont jouit le juge et de la potentielle gravité des conséquences de sa décision (TF [Tribunal fédéral] 8C_1001/2008 du 31 juillet 2009, consid. 2.2). Le juge, respectivement l'administration, n’a toutefois pas l’obligation d’exposer et de discuter tous les arguments invoqués par les parties, mais peut se limiter à ceux qui lui apparaissent pertinents (ATF 136 I 229 consid. 5.2 ; 136 V 351 consid. 4.2 et les références citées ; TF 5A_13/2011 du 8 février 2011 consid. 3.1). Il n’y a violation du droit d’être entendu que si l’autorité ne satisfait pas à son devoir minimum d’examiner les problèmes pertinents (ATF 133 III 439 consid. 3.3 ; 130 II 530 consid. 4.3).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b) In casu, la décision querellée se limite à constater l’absence d’invalidité pouvant être reconnue en faveur du recourant. Un courrier d’accompagnement de l’intimé précise au surplus que sa position est fondée sur les expertises médicales versées au dossier. Si cette argumentation n’est certes que peu étayée, il n’en demeure pas moins qu’elle est compréhensible et mentionne les motifs principaux à l’origine du refus de rente d’invalidité. Le recourant a d’ailleurs été parfaitement en mesure d’en saisir les enjeux et de défendre ses droits auprès de la Cour de céans, laquelle dispose d’un plein pouvoir d’examen. Dans ces circonstances, il y a lieu de nier toute violation du droit d’être entendu du recourant. Un tel vice formel pourrait de toute façon être qualifié de</w:t>
      </w:r>
    </w:p>
    <w:p>
      <w:r>
        <w:t>- 13 - réparé, faute de gravité particulière et au vu du recours interjeté auprès de la présente cour. 4. a)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Le Tribunal fédéral applique le même principe lorsqu'une cause lui revient alors qu'il a rendu précédemment un arrêt de renvoi (ATF 125 III 421 consid. 2a ; 125 III 443 consid. 3a). b) L’arrêt rendu par la Cour de céans le 31 août 2016 a en l’occurrence renvoyé le dossier à l’administration pour complément d’instruction avant nouvelle décision. Il doit donc être qualifié de décision incidente (cf. ATF 133 V 477 consid. 4.2). Dans le cas particulier, la Cour a considéré que sur le plan physique, le recourant présentait une pleine capacité de travail en l’absence d’atteinte à la santé invalidante. Quant à l’état de santé psychique du recourant, notamment d’un possible trouble somatoforme douloureux, une expertise psychiatrique répondant aux critères posés par la récente jurisprudence fédérale s’imposait. Dès lors, l’arrêt en question contient, s’agissant de l’état de santé physique du recourant et de la capacité de travail corrélative, une constatation de fait impérative destinée à l’autorité inférieure sans que celle-ci ne dispose d’aucune marge de manœuvre pour la suite de la procédure. En outre, sous réserve de fait nouveau attestant d’une modification de la capacité de travail du recourant au regard de son état de santé physique, la Cour de céans ne saurait revenir sur l’appréciation de celle-ci telle que retenue dans l’arrêt du 31 août 2016. c) En l’espèce, à teneur de son mémoire de recours du 17 octobre 2017, le recourant remet pour l’essentiel en question l’appréciation de sa capacité de travail sur le plan somatique, sans faire état d’un quelconque fait médical nouveau. Le rapport du Dr D.________ du 3 septembre 2015, produit dans le cadre de la présente procédure, était</w:t>
      </w:r>
    </w:p>
    <w:p>
      <w:r>
        <w:t>- 14 - en effet un élément connu de la Cour de céans lors de l’établissement de l’arrêt du 31 août 2016. Le recourant réitère les griefs précédemment examinés dans ledit arrêt de sorte qu’il suffit de le renvoyer au considérant corrélatif traitant de l’appréciation de son état de santé somatique (cf. consid. 8a et b de l’arrêt du 31 août 2016 en la cause AI 129/15 – 231/2016). 5.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t>- 15 - b) Selon l’art. 28 al. 2 LAI (en vigueur depuis le 1er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c)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6. a) La jurisprudence a dégagé au cours de ces dernières années un certain nombre de principes et de critères normatifs pour</w:t>
      </w:r>
    </w:p>
    <w:p>
      <w:r>
        <w:t>- 16 - permettre d’apprécier – sur les plans médical et juridique – le caractère invalidant de syndromes sans pathogenèse ni étiologie claires et sans constat de déficit organique, tels que le trouble somatoforme douloureux (TF 9C_49/2013 du 2 juillet 2013 consid. 4.1) ou la fibromyalgie (ATF 132 V 65 consid. 4). Dans un arrêt récent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b) La preuve d’une telle atteinte à la santé, sous la forme d’un trouble somatoforme douloureux, suppose d’abord que l’atteinte soit diagnostiquée par l’expert selon les règles de l’art, en tenant compte en particulier du critère de gravité inhérent à ce diagnostic et en faisant référence aux limitations fonctionnelles constatées. Le diagnostic doit également résister à divers motifs d’exclusion. Ainsi n’existe-t-il en principe aucune atteinte à la santé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des plaintes très</w:t>
      </w:r>
    </w:p>
    <w:p>
      <w:r>
        <w:t>- 17 - démonstratives laissent insensible l’expert ou en cas d’allégation de lourds handicaps dans la vie quotidienne malgré un environnement psychosocial largement intact. A lui seul, un simple comportement ostensible ne permet pas de conclure à une exagération. Lorsque dans le cas particulier, il apparaît clairement que de tels motifs d’exclusion empêchent de conclure à une atteinte à la santé, il n’existe d’emblée aucune justification pour une rente d’invalidité, même si les caractéristiques d’un trouble somatoforme douloureux au sens de la classification seraient réalisées (cf. art. 7 al. 2 LPGA).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le point de savoir si l’atteinte à la santé entraîne une incapacité de travail doit être examiné au travers d’une grille d’évaluation normative et structurée, à l’aide d’indicateurs objectifs plaidant en faveur ou en défaveur d’une incapacité de travail totale ou partielle (ATF 141 V 281 consid. 3 et 4). Cette grille comprendra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sera également tenu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w:t>
      </w:r>
    </w:p>
    <w:p>
      <w:r>
        <w:t>- 18 - soutien dont il bénéficie dans son réseau social (ATF 141 V 281 consid. 4.3 et référence citée). La grille d’évaluation de la capacité résiduelle de travail comprendra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référence citée). 7.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w:t>
      </w:r>
    </w:p>
    <w:p>
      <w:r>
        <w:rPr>
          <w:b/>
        </w:rPr>
        <w:t>E. 10</w:t>
      </w:r>
    </w:p>
    <w:p>
      <w:r>
        <w:t>Sur le vu de ce qui précède, l’intimé a nié à juste titre le droit du recourant à une rente de l’assurance-invalidité. Le recours, mal fondé, doit être rejeté, ce qui entraîne la confirmation de la décision du 25 septembre 2017.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du recourant qui succombe. b) En outre, n’obtenant pas gain de cause et n’étant de toute façon pas représenté par un mandataire professionnel, le recourant ne saurait prétendre des dépens (art. 55 al. 1 LPA-VD et art 61 let. g LPGA).</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