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ZD17.043159 vom 12. Dezember 2019</w:t>
      </w:r>
    </w:p>
    <w:p>
      <w:r>
        <w:t>VD Tribunal cantonal, 2019-12-12, FR</w:t>
      </w:r>
    </w:p>
    <w:p>
      <w:r>
        <w:rPr>
          <w:b/>
        </w:rPr>
        <w:t xml:space="preserve">Quelle: </w:t>
      </w:r>
      <w:r>
        <w:t>https://mcp.opencaselaw.ch/entscheid/vd_gerichte_ZD17.043159</w:t>
      </w:r>
    </w:p>
    <w:p>
      <w:r>
        <w:t>FR: VD_GERICHTE ZD17.043159 du 12 décembre 2019</w:t>
      </w:r>
    </w:p>
    <w:p>
      <w:r>
        <w:t>IT: VD_GERICHTE ZD17.043159 del 12 dicembre 2019</w:t>
      </w:r>
    </w:p>
    <w:p>
      <w:pPr>
        <w:pStyle w:val="Heading2"/>
      </w:pPr>
      <w:r>
        <w:t>Erwägungen</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le recourant, à savoir d’ordonner une expertise judiciaire. En effet, une telle mesure ne serait pas de nature à modifier les considérations qui précèdent, les faits pertinents ayant pu être constatés à satisfaction de droit. La requête du recourant en ce sens doit ainsi être rejetée.</w:t>
      </w:r>
    </w:p>
    <w:p>
      <w:r>
        <w:t>- 51 -</w:t>
      </w:r>
    </w:p>
    <w:p>
      <w:r>
        <w:rPr>
          <w:b/>
        </w:rPr>
        <w:t>E. 9</w:t>
      </w:r>
    </w:p>
    <w:p>
      <w:r>
        <w:t>Compte tenu de ce qui précède, le recourant doit être rejeté et la décision entreprise confirmée.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(art. 49 al. 1 LPA-VD). b) N’obtenant pas gain de cause, le recourant, bien qu’assisté d’un mandataire qualifié,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