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ZD17.042313 vom 24. Juni 2019</w:t>
      </w:r>
    </w:p>
    <w:p>
      <w:r>
        <w:t>VD Tribunal cantonal, 2019-06-24, FR</w:t>
      </w:r>
    </w:p>
    <w:p>
      <w:r>
        <w:rPr>
          <w:b/>
        </w:rPr>
        <w:t xml:space="preserve">Quelle: </w:t>
      </w:r>
      <w:r>
        <w:t>https://mcp.opencaselaw.ch/entscheid/vd_gerichte_ZD17.042313</w:t>
      </w:r>
    </w:p>
    <w:p>
      <w:r>
        <w:t>FR: VD_GERICHTE ZD17.042313 du 24 juin 2019</w:t>
      </w:r>
    </w:p>
    <w:p>
      <w:r>
        <w:t>IT: VD_GERICHTE ZD17.042313 del 24 giugno 2019</w:t>
      </w:r>
    </w:p>
    <w:p>
      <w:pPr>
        <w:pStyle w:val="Heading2"/>
      </w:pPr>
      <w:r>
        <w:t>Erwägungen</w:t>
      </w:r>
    </w:p>
    <w:p>
      <w:r>
        <w:rPr>
          <w:b/>
        </w:rPr>
        <w:t>E. 1</w:t>
      </w:r>
    </w:p>
    <w:p>
      <w:r>
        <w:t>j de 6h " " =&gt; 7h " " Journée de 6,5h à N.________ : 1) Bus X.________ [...] 6h38 -&gt; 7h45 à N.________. [...] [soit 1h08 de trajet Problème du court délai entre train et bus à [...] (annoncé 5mn, hors horaires variables – pas d’ascenseur en gare de [...])] Travail de 8h à 14h30 Bus N.________. [...] 15h10 -&gt; X.________ [...] à 16h23 (trajet 1h13) Même problème entre train et bus à [...] 2) X.________ [...] 7h38 -&gt; 8h46 N.________. [...] [idem ci-dessus] Travail de 9h à 15h30 Bus N.________ [...] 16h05 -&gt; X.________ [...] 17h30 (trajet de 1h25) Idem Journée de 7h à N.________ : Plutôt 8h/15h car 10 min avant bus N.________-X.________ (au lieu 5 min avant bus en finissant à 16h)" Du procès-verbal relatif à l’entretien du 4 mai 2017, on extrait notamment ce qui suit : "Notre assurée nous informe que les horaires actuels sont toujours valables et ont été déterminés par rapport au besoin de garde de son enfant, eux-mêmes fixés en fonction de l’impossibilité d’utiliser les transports publics. Ils pourraient dans le futur être modifiés, comme déjà par le passé.</w:t>
      </w:r>
    </w:p>
    <w:p>
      <w:r>
        <w:t>- 5 - […] Notre assurée n’accepte pas que nous ne prenions en compte que les données de l’horaire de son activité et des transports publics. Elle n’a pas modifié son horaire de travail pour le moment bien que ce soit possible, car elle ne peut pas prendre les transports publics. […] Le document transmis indique qu’une personne en bonne santé peut assumer un 40% avec les transports publics. Le temps de présence au poste de travail est de : 08h00 =&gt; 14h30 avec une heure de pause comprise / 30 minutes prises sur le temps privé en raison de l’atteinte à la santé. Lors de cet horaire le bus quitte X.________ [...] à 06h38 avec 400 mètres de marche depuis le domicile, arrivé[e] à N.________ [...] à 07h45 (le trajet comporte la première partie en bus, ensuite le train et dernier en bus). Pour le bus retour départ de N.________ [...] à 15h10, arrivé à X.________ [...]e à 16h23 (premi[ère] partie en bus, trajet en train et bus jusqu’à X.________ [...]) ensuite 400 mètres à pied pour atteindre le domicile. Le trajet en véhicule privé est de 35 minutes environ, d’après Madame. Le point 2 du document annexe concerne un horaire possiblement modifié dans le futur, et le dernier point indique les possibilités avec un horaire de 07h au lieu de 06h30 de durée de travail. En outre, Madame précise avoir également besoin de son véhicule dans le cadre de la réalisation de ses activités habituelles (rendez- vous médicaux (médecin de famille à [...] / parking à 30 mètres – en bus 300 mètres à pied – Hôpital [...] à [...] / parking à 30 mètres – avec le métro 500 mètres en pente)). Notre assurée nous précise qu’au village, une épicerie est disponible, une bibliothèque, une école, un dépôt postal, un restaurant, ainsi, elle dispose de toute[s] les commodités, n’habite pas un lieu isolé. Avant l’aggravation de son état de santé, elle employait les transports publics afin de se rendre au travail (même lieu)." Par attestation du 6 juin 2017, la responsable des ressources humaines de D.________ SA a certifié que les horaires de travail de l’assurée pourraient être modifiés afin que cette dernière puisse venir à son travail en transports publics. Par décision du 30 août 2017, l’OAI a confirmé son projet de décision du 20 février précédent.</w:t>
      </w:r>
    </w:p>
    <w:p>
      <w:r>
        <w:t>- 6 - Dans une lettre d’accompagnement du même jour, l’office a relevé que, selon les dernières informations reçues, la situation professionnelle de l’assurée n’avait pas été modifiée quant aux horaires de travail quand bien même elle pourrait l’être. Dès lors, le projet de décision s’avérait fondé. D. Agissant par l’entremise de son conseil, A.________ a recouru le</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Tel que défini par la décision de l’OAI du 30 août 2017, l’objet de la contestation est circonscrit à la question du droit à une contribution d’amortissement pour véhicule à moteur – aucune autre prestation n’étant visée par cette décision. Dès lors que les conclusions de la recourante portent sur l’octroi des « prestations légales découlant de la LAI, en particulier une contribution d’amortissement pour [le] véhicule à moteur » (cf. mémoire de recours du 2 octobre 2017 p. 9), elles s’avèrent ainsi partiellement irrecevables, l’objet du litige devant être ramené à la seule question du droit de l’intéressée à l'octroi d'un moyen auxiliaire de l'AI sous la forme d’une contribution d’amortissement pour un véhicule à moteur.</w:t>
      </w:r>
    </w:p>
    <w:p>
      <w:r>
        <w:rPr>
          <w:b/>
        </w:rPr>
        <w:t>E. 3</w:t>
      </w:r>
    </w:p>
    <w:p>
      <w:r>
        <w:t>a) Selon l’art. 8 LAI, les assurés invalides ou menacés d’une invalidité (art. 8 LPGA) ont droit à des mesures de réadaptation pour autant que ces dernières soient nécessaires et de nature à rétablir, maintenir ou améliorer leur capacité de gain ou leur capacité d’accomplir leurs travaux habituels (al. 1 let. a) ; les assurés ont droit aux prestations</w:t>
      </w:r>
    </w:p>
    <w:p>
      <w:r>
        <w:t>- 9 - prévues aux art. 13 et 21 LAI, quelles que soient les possibilités de réadaptation à la vie professionnelle ou à l’accomplissement de leurs travaux habituels (al. 2).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première phrase).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b) La liste des moyens auxiliaires indiquée à l'art. 21 LAI fait l'objet d'une ordonnance du Département fédéral de l'intérieur (art. 14 RAI [règlement fédéral du 17 janvier 1961 sur l’assurance-invalidité ; RS 831.201]). Conformément à cette délégation, le département a édicté l'OMAI (ordonnance du 29 septembre 1976 concernant la remise de moyens auxiliaires par l'assurance-invalidité ; RS 831.232.51). L'art. 2 OMAI dispose qu'ont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Selon l'art. 21ter LAI, l'assurance peut allouer des indemnités d'amortissement à l'assuré qui a acquis, à ses frais, un moyen auxiliaire auquel il a droit (al. 1). L'annexe à l'OMAI mentionne sous ch. 10.04*, en liaison avec le ch. 10, les voitures automobiles destinées aux assurés qui, exerçant d'une manière probablement durable une activité leur permettant de couvrir leurs besoins, ne peuvent se passer d'un tel</w:t>
      </w:r>
    </w:p>
    <w:p>
      <w:r>
        <w:t>- 10 - moyen personnel pour se rendre à leur travail. L'indemnisation a lieu sous la forme de contributions d'amortissement (ch. 10.01* à 10.04* de la circulaire de l'Office fédéral des assurances sociales [OFAS] concernant la remise des moyens auxiliaires par l'assurance-invalidité [CMAI]). Ces contributions sont allouées annuellement, la première fois lors de l'acquisition du véhicule, puis au 1er janvier de chaque année civile (ch. 10.04* par. 2091* CMAI). c) Selon la jurisprudence, l'utilisation d'un véhicule à moteur personnel pour le parcours du chemin du travail n'est pas nécessitée par l'invalidité lorsqu'il faut admettre que l'assuré, même valide, devrait de toute façon se rendre à son lieu de travail avec une automobile. Pour juger – de manière hypothétique – de cette question, il faut tenir compte de l'ensemble des circonstances du cas particulier. La nécessité d'un véhicule peut être due à des motifs d'ordre strictement professionnel (par exemple lorsque le requérant exerce la profession de chauffeur de taxi, de représentant de commerce ou de transporteur de marchandises) ou à l'éloignement du lieu de travail, lorsque les moyens de transport en commun font défaut ou que leur utilisation ne peut être raisonnablement exigée d'une personne valide, par exemple en raison d'horaires trop défavorables ou parce qu'elle entraînerait une trop grande perte de temps par rapport à l'usage d'un véhicule individuel. Le droit à des contributions d'amortissement pour une voiture automobile ne peut donc pas être refusé au seul motif que l'intéressé utiliserait de toute façon une automobile même sans invalidité. Pour nier l'existence d'un tel droit, on doit bien plutôt pouvoir admettre que l'ensemble des circonstances du cas particulier obligerait également une personne non invalide à utiliser un véhicule automobile (ATF 97 V 239 consid. 3b ; SVR 2001 IV n° 33 p. 101 s. consid. 3 ; Praxis 1991 n° 215 p. 909 consid. 2c ; TFA I 1/05 du 28 avril 2006 consid. 2.2 ; Michel Valterio, Droit de l’assurance-vieillesse et survivants [AVS] et de l’assurance-invalidité [AI], Genève/Zurich/Bâle 2011, spéc. n° 1798 et les références).</w:t>
      </w:r>
    </w:p>
    <w:p>
      <w:r>
        <w:rPr>
          <w:b/>
        </w:rPr>
        <w:t>E. 4</w:t>
      </w:r>
    </w:p>
    <w:p>
      <w:r>
        <w:t>a) En l’espèce, l’OAI ne conteste pas que, d’un point de vue médical, l’état de santé de l’assurée rend désormais incontournable</w:t>
      </w:r>
    </w:p>
    <w:p>
      <w:r>
        <w:t>- 11 - l’utilisation d’une voiture pour pouvoir se rendre au travail (cf. rapport du Dr R.________ non daté produit le 7 novembre 2016), au sens de l’art. 2 al. 2 OMAI. b) Par ailleurs, il est admis que la recourante exerce de manière durable une activité lui permettant, avec l’octroi d’un trois-quarts de rente d’invalidité, de couvrir ses besoins. Cela étant, il faut donc considérer que la première condition à l’octroi d’une contribution d’amortissement pour véhicule à moteur selon le ch. 10.04* de l’annexe à l’OMAI est, en l’occurrence, remplie. c) Est en revanche controversée la question de savoir si l'utilisation du véhicule est nécessitée par l'invalidité, au sens entendu par le ch. 10.04* de l’annexe à l’OMAI. Certes, l’assurée a initialement fait état d’horaires difficilement compatibles – le mercredi – avec l’utilisation des transports en commun (cf. écriture du 17 novembre 2016 et fiche d’examen du dossier du 20 février 2017). L’intimé en a déduit que, même en bonne santé, la recourante aurait dû faire usage d’un véhicule à moteur pour se rendre au travail, compte tenu de ses horaires de travail et des horaires de transports publics en vigueur (cf. décision du 30 août 2017 p. 1). L’instruction du dossier a néanmoins montré que les horaires auraient pu être adaptés par l’employeur en vue de faciliter les déplacements en transports publics (cf. attestation de D.________ SA du 6 juin 2017) et qu’un horaire de travail à 40 % accompli selon différentes modalités entre 8h00 et 15h30 était compatible avec des trajets en transports publics (cf. document manuscrit du 3 mai 207 et procès-verbal d’entretien du 4 mai 2017). Dès lors, l’OAI a ultérieurement procédé à une comparaison entre le temps de trajet en transports publics et celui en voiture, pour en déduire que l’option du déplacement en voiture était « clairement préférable » aux trajets en transports publics et qu’une personne sans atteinte à la santé ferait usage de son véhicule afin de se rendre sur son lieu de travail (cf. réponse du 11 décembre 2017 p. 2 s.). Contrairement à</w:t>
      </w:r>
    </w:p>
    <w:p>
      <w:r>
        <w:t>- 12 - la position ainsi défendue par l’intimé, la question – conformément à la jurisprudence citée plus haut (cf. consid. 3c supra) – n’est toutefois pas de savoir si l’assurée, même valide, utiliserait de préférence une automobile plutôt que les transports publics pour se rendre à son lieu de travail. Il faut bien plutôt examiner si la recourante, en admettant qu'elle ne soit pas atteinte dans sa santé, ne pourrait pas effectuer les trajets entre son domicile, à X.________, et son lieu de travail, à N.________, autrement qu’en véhicule automobile. Sur ce point, l’intéressée s’est notamment prévalue d’un arrêt I 1/05 rendu le 28 avril 2006 par l’ancien Tribunal fédéral des assurances. Aux termes de cet arrêt, la Haute Cour a apprécié la nécessité du recours à une automobile en se référant à la législation en matière d’assurance- chômage et en appliquant, par analogie, l'art. 16 al. 2 let. f LACI (loi fédérale du 25 juin 1982 sur l’assurance-chômage obligatoire et l’indemnité en cas d’insolvabilité ; RS 837.0) qui dispose qu'un travail qui nécessite un déplacement de plus de deux heures pour l'aller et de plus de deux heures pour le retour (et qui ne satisfait pas à d'autres exigences sans incidences en l'espèce) n'est pas réputé convenable et, par conséquent, est exclu de l'obligation d'être accepté par un assuré qui requiert des prestations de l'assurance-chômage (TFA I 1/05 du 28 avril 2006 consid. 3.4). Ce même raisonnement doit être repris dans le cas particulier, dans la mesure où l’on ne saurait considérer qu’un trajet de moins de deux heures est convenable sous l’angle de l’assurance- chômage, mais pas sous celui de l’AI. Cela étant, il apparaît en l’espèce que l’horaire de travail de la recourante est réparti sur trois jours, soit deux jours où elle se trouve présente sur le site de D.________ SA durant six heures et demie et un jour où elle y est durant sept heures. En ce qui concerne les journées comportant six heures et demie de présence, il appert qu’avec un horaire de 8h00 à 14h30, l’utilisation des transports en commun – transferts compris – permettrait à la recourante de rallier son lieu de travail en une heure et huit minutes et de réintégrer son domicile en fin de journée en une heure et treize minutes ; avec un horaire de 9h00 à 15h30, le temps</w:t>
      </w:r>
    </w:p>
    <w:p>
      <w:r>
        <w:t>- 13 - de trajet serait d’une heure et huit minutes à l’aller et d’une heure et vingt-cinq minutes au retour (cf. note manuscrite du 3 mai 2017). Pour les journées de sept heures avec une présence sur le site de D.________ SA entre 8h00 et 15h00, les trajets dureraient respectivement une heure et huit minutes à l’aller et une heure et treize minutes au retour (cf. note manuscrite du 3 mai 2017). On se situe ainsi en-deçà de la limite de deux heures découlant de l’art. 16 al. 2 let. f LACI. Ce constat demeure inchangé même avec des durées de trajets telles qu’invoquées par l’intimé, se situant entre une heure et quinze minutes et une heure et cinquante minutes (cf. réponse du 11 décembre 2017 p. 2). Dans ces conditions, force est de d’admettre que l'utilisation des transports en commun pour effectuer le trajet entre X.________ et le site de D.________ SA pourrait être raisonnablement exigée d'une personne valide. Corollairement, l'éloignement entre ces deux lieux et les horaires des moyens de transport en commun ne permettent pas d'admettre que l'assurée, même valide, serait contrainte de se rendre à son travail en automobile. Au demeurant, on relèvera que la recourante effectuait déjà les trajets y relatifs en transports publics avant l’aggravation de son état de santé (cf. procès-verbal d’entretien du 4 mai 2017 p. 2). En conséquence, il y a lieu de retenir que l'invalidité de la recourante rend nécessaire l'utilisation d'un véhicule automobile pour qu'elle puisse se rendre à son travail. c) Il suite de là que la recourante a droit à la contribution d'amortissement annuelle prévue à l'art. 21ter al. 1 LAI et au ch. 10.04* de l'annexe à l'OMAI.</w:t>
      </w:r>
    </w:p>
    <w:p>
      <w:r>
        <w:rPr>
          <w:b/>
        </w:rPr>
        <w:t>E. 5</w:t>
      </w:r>
    </w:p>
    <w:p>
      <w:r>
        <w:t>a) En conclusion, le recours doit être admis dans la mesure où il est recevable et la décision attaquée réformée, la recourante ayant droit à une contribution d’amortissement annuelle pour véhicule à moteur. Pour le surplus, la cause est renvoyée à l'office intimé pour qu'il fixe l'ampleur de la prestation.</w:t>
      </w:r>
    </w:p>
    <w:p>
      <w:r>
        <w:t>- 14 - b) En dérogation à l’art. 61 let. a LPGA, la procédure de recours en matière de constatation portant sur l’octroi ou le refus de prestations de l’assurance-invalidité devant le tribunal cantonal des assurances est soumise à frais de justice (art. 69 al. 1bis LAI). En l'espèce, les frais de justice doivent être fixés à 400 fr. et mis à la charge de l’OAI, qui succombe. Obtenant gain de cause avec l'assistance d'un mandataire professionnel, la recourante a droit à une indemnité de dépens à titre de participation aux honoraires de son conseil (art. 61 let. g LPGA), indemnité qu'il convient d'arrêter à 2’500 fr. (art. 10 et 11 TFJDA [tarif du 28 avril 2015 des frais judiciaires et des dépens en matière administrative ; RSV 173.36.5.1]) et de mettre à la charge de l’intimé qui succombe.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