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ZD17.042298 vom 30. Juni 2021</w:t>
      </w:r>
    </w:p>
    <w:p>
      <w:r>
        <w:t>VD Tribunal cantonal, 2021-06-30, FR</w:t>
      </w:r>
    </w:p>
    <w:p>
      <w:r>
        <w:rPr>
          <w:b/>
        </w:rPr>
        <w:t xml:space="preserve">Quelle: </w:t>
      </w:r>
      <w:r>
        <w:t>https://mcp.opencaselaw.ch/entscheid/vd_gerichte_ZD17.042298</w:t>
      </w:r>
    </w:p>
    <w:p>
      <w:r>
        <w:t>FR: VD_GERICHTE ZD17.042298 du 30 juin 2021</w:t>
      </w:r>
    </w:p>
    <w:p>
      <w:r>
        <w:t>IT: VD_GERICHTE ZD17.042298 del 30 giugno 2021</w:t>
      </w:r>
    </w:p>
    <w:p>
      <w:pPr>
        <w:pStyle w:val="Heading2"/>
      </w:pPr>
      <w:r>
        <w:t>Erwägungen</w:t>
      </w:r>
    </w:p>
    <w:p>
      <w:r>
        <w:rPr>
          <w:b/>
        </w:rPr>
        <w:t>E. 3</w:t>
      </w:r>
    </w:p>
    <w:p>
      <w:r>
        <w:t>a) Il convient dans un premier temps d’examiner les griefs de nature formelle avancés par la recourante. Celle-ci fait valoir que la décision attaquée est irrégulière, d’une part, en raison du refus de l’OAI de surseoir à statuer malgré sa demande en ce sens et les nouveaux arguments présentés par son conseil en date des 11 et 26 août 2017, alors qu’il avait laissé croire que tel serait le cas par courrier du 16 août 2017, et d’autre part, du fait que la notification de la décision est intervenue à son adresse et non à celle de son conseil. b) Aux termes de l’art. 57a LAI, dans sa teneur en vigueur jusqu’au 31 décembre 2020, l’office AI communique à l’assuré, au moyen d’un préavis, toute décision finale qu’il entend prendre au sujet d’une demande de prestations ou au sujet de la suppression ou de la réduction d’une prestation déjà allouée ; l’assuré a le droit d’être entendu, conformément à l’art. 42 LPGA. Les parties peuvent faire part à l’office AI de leurs observations sur le préavis dans un délai de 30 jours (art. 73ter al. 1 RAI [règlement du 17 janvier 1961 sur l’assurance-invalidité ; RS 831.201]). Le délai fixé à l’art. 73ter al. 1 RAI est un délai d’ordre qui peut être prolongé pour de justes motifs (ATF 143 V 71 consid. 4.3.5). c) En l’occurrence, l’OAI a fait parvenir son préavis à la recourante le 20 décembre 2016. Celle-ci a fait valoir ses objections par</w:t>
      </w:r>
    </w:p>
    <w:p>
      <w:r>
        <w:t>- 15 - courrier du 1er janvier 2017 et invité l’OAI à s’adresser aux Drs T.________ et Y.________. L’OAI lui a alors indiqué, par courrier du 5 janvier 2017, qu’il lui appartenait de transmettre les éléments médicaux ou juridiques à l’appui de sa contestation, ce qu’elle a fait, en produisant un rapport de chacun des médecins précités. Le SMR a ensuite demandé à la médecin traitante de la recourante l’ensemble de son dossier médical (avis du 21 mars 2017) avant de prendre position en date du 30 mai 2017. L’OAI a répondu aux objections de la recourante par courrier du 25 juillet 2017, confirmant son projet et annonçant qu’une décision allait prochainement être rendue. Le mandataire de la recourante, nouvellement constitué, a demandé à l’OAI de surseoir à statuer par courrier du 11 août 2017, puis à nouveau en date du 26 août 2017. Au vu du déroulement de la procédure d’audition décrite ci-dessus, l’OAI était légitimé à refuser cette demande par courrier du 25 août 2017, au motif que la contestation de l’assurée avait déjà fait l’objet d’un nouvel examen approfondi et rappelant par ailleurs la possibilité de recourir contre la décision. L’assurée avait en effet largement eu le temps de faire valoir ses objections, s’était vu impartir des délais pour produire les rapports médicaux annoncés et aurait eu tout loisir de consulter un mandataire plus tôt, en vue de se faire assister durant la procédure d’audition. Quant au courrier de l’OAI du 17 août 2017, il annonçait que cet office reprendrait contact dès que possible avec le mandataire de l’assurée en vue de donner suite à sa communication, ce qui ne peut, à l’évidence, être considéré comme une décision de surseoir à statuer comme le prétend la recourante. La décision de l’OAI ne saurait par conséquent être qualifiée d’irrégulière pour ce motif. d) Selon l’art. 49 al. 3, troisième phrase, LPGA, la notification irrégulière d’une décision ne doit entraîner aucun préjudice pour l’intéressé (al. 3). Un défaut de notification n’est toutefois susceptible d’entraîner des conséquences que dans la mesure où il a causé une erreur préjudiciable à son destinataire. En effet, la protection juridique des parties est suffisamment réalisée lorsque la notification irrégulière atteint son but malgré cette irrégularité (ATF 122 V 189 consid. 2).</w:t>
      </w:r>
    </w:p>
    <w:p>
      <w:r>
        <w:t>- 16 - e) C’est en l’occurrence à tort que l’OAI, respectivement la caisse de compensation, a notifié la décision litigieuse à la recourante et non à son mandataire. Il apparaît toutefois que cette erreur n’a pas entraîné de préjudice puisque Me Carré a rapidement eu connaissance de la décision en question et a pu la contester utilement par le biais du présent recours. La notification irrégulière est dès lors restée sans conséquence, comme le relève l’OAI dans sa réponse.</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Il y a un nouveau cas d’assurance lors de la survenance d’une atteinte à la santé totalement différente de celle qui prévalait au moment du premier refus de prestations et propre, par sa nature et sa gravité, à causer une incapacité de travail de 40 % au moins en moyenne sur une année (ATF 136 V 369 consid. 3.1 et les références).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- 17 -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En l’occurrence, l’OAI a fondé sa décision du 30 août 2017 sur le rapport d’expertise rhumatologique de la Dre I.________, dont la recourante a contesté les conclusions en produisant notamment un consilium du Dr B.________. A l’initiative du juge instructeur, une expertise judiciaire pluridisciplinaire a été mise en œuvre auprès des G.________ et confiée aux Drs X.________, C.________ et Z.________. Dans leurs prises de position respectives des 30 novembre 2020 et 26 janvier 2021, la recourante et l’OAI ont fait savoir qu’ils se ralliaient aux conclusions de cette expertise judiciaire. Il convient effectivement de reconnaître une pleine valeur probante au rapport d’expertise judiciaire rendu le 6 novembre 2020. Les experts ont pris leurs conclusions de manière motivée et détaillée sur la base d’un examen clinique complet, en pleine connaissance du dossier médical de la recourante et de son anamnèse, et en tenant compte de ses plaintes ainsi que de ses ressources. Il faut en particulier souligner que les Drs C.________ et Z.________ ont exposé de manière convaincante pour quelles raisons ils retenaient, respectivement écartaient les différents diagnostics posés par les autres médecins, puis ont évalué les répercussions de ceux-ci sur l’état de santé de la recourante au fil des années. L’expert rhumatologue a en outre complété les documents à disposition en faisant réaliser une échographie et une IRM du genou droit en date du 10 août 2018. Les experts ont ensuite procédé à une</w:t>
      </w:r>
    </w:p>
    <w:p>
      <w:r>
        <w:t>- 18 - évaluation consensuelle, à l’issue de laquelle ils se sont accordés sur l’évolution de la capacité de travail de la recourante. Ils parviennent ainsi à la conclusion que la recourante présente un probable SDRC de type I, une faiblesse de la jambe droite d’origine fonctionnelle et des douleurs chroniques du membre inférieur droit post- chirurgicales. Ils posent également les diagnostics sans répercussion sur la capacité de travail d’hyperlaxité généralisée probable, d’arthromyalgies intermittentes migrantes d’origine indéterminée (sans élément pour une connectivite ou un rhumatisme inflammatoire de type polyarthrite rhumatoïde), ainsi que de probable récidive tumorale à l’IRM. Ils retiennent que la capacité de travail de la recourante dans son activité habituelle d’infirmière est nulle depuis 2013. Dans une activité adaptée, sa capacité de travail a été nulle depuis l’intervention de 2013 jusqu’en septembre 2015 (pour des raisons neurologiques), puis a été de 80 % de septembre 2015 à octobre 2016, grâce à la mise en place de la pompe intrathécale de clonidine. La recourante a ensuite à nouveau été en totale incapacité de travail à partir d’octobre 2016, avec le sevrage de clonidine, jusqu’en juin 2019, où elle a retrouvé une capacité de travail de 50 %, comprenant une baisse de rendement de 30 %. Au niveau des limitations fonctionnelles, son activité doit avoir lieu essentiellement en position assise, avec possibilité de pauses et de changements de position, avec un port de charges limité à 3-7 kg, l’absence de flexions répétées des genoux, et la marche limitée à 30 minutes en terrain plat.</w:t>
      </w:r>
    </w:p>
    <w:p>
      <w:r>
        <w:rPr>
          <w:b/>
        </w:rPr>
        <w:t>E. 6</w:t>
      </w:r>
    </w:p>
    <w:p>
      <w:r>
        <w:t>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Lorsque le revenu sans invalidité ne peut pas être déterminé en fonction de l’activité lucrative habituelle exercée avant l’atteinte à la</w:t>
      </w:r>
    </w:p>
    <w:p>
      <w:r>
        <w:t>- 19 -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Par travaux habituels, il faut en principe entendre l’activité usuelle dans le ménage, ainsi que les soins et l’assistance aux proches (art. 27 RAI ; cf. Margit Moser-Szeless, in Dupont/Moser-Szeless [édit.], op. cit., n° 52 ad art. 16 LPGA). c) La méthode mixte d’évaluation de l’invalidité (art. 28a al. 3 LAI) consiste à utiliser la méthode générale de comparaison des revenus pour la part de l’activité lucrative et la méthode spécifique d’évaluation de l’invalidité pour le temps consacré aux travaux habituels au sens des art. 28a al. 2 LAI et 8 al. 3 LPGA. Jusqu’au 31 décembre 2017, l'invalidité totale de la personne assurée résultait de l'addition des taux d'invalidité pondérés dans les deux domaines (art. 27bis RAI dans sa teneur jusqu’au 31 décembre 2017 ; ATF 137 V 334 ; 131 V 51 consid. 5.1.2). Au vu de la date de la décision litigieuse, soit le 30 août 2017, les modifications du RAI relatives à la méthode mixte entrées en vigueur au 1er janvier 2018 ne sont pas pertinentes en l’espèce (ATF 138 V 176 consid. 7.1 ; 136 V 24 consid. 4.3).</w:t>
      </w:r>
    </w:p>
    <w:p>
      <w:r>
        <w:t>- 20 - d) En dépit des termes utilisés aux art. 28a al. 2s.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e)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w:t>
      </w:r>
    </w:p>
    <w:p>
      <w:r>
        <w:rPr>
          <w:b/>
        </w:rPr>
        <w:t>E. 7</w:t>
      </w:r>
    </w:p>
    <w:p>
      <w:r>
        <w:t>a) En date du 23 juin 2015, la recourante a fait savoir à l’OAI que si elle n’était pas atteinte dans sa santé, elle travaillerait à 50 %. Lors</w:t>
      </w:r>
    </w:p>
    <w:p>
      <w:r>
        <w:t>- 21 - de l’enquête sur le ménage réalisée au domicile de la recourante le 26 juillet 2016, l’enquêtrice a confirmé le statut de 50 % active et 50 % ménagère depuis 2013, estimant que celui-ci était plausible au vu de la situation et des explications de la recourante. Ce statut peut en effet être confirmé. Dans ses dernières écritures, la recourante fait certes valoir qu’en l’absence d’atteinte à la santé, elle aurait repris une activité à plein temps au plus tard à partir de 2019 compte tenu du départ de ses enfants de la maison et de la dégradation de l’état de santé de son mari. Un éventuel changement de statut n’a toutefois pas à être examiné en l’occurrence puisque le litige porte sur la période allant jusqu’au 30 août 2017, pendant laquelle il n’est pas contesté que la recourante avait un statut de 50 % active et 50 % ménagère. b) Dans le rapport d’enquête du 9 août 2016, l’enquêtrice a retenu une invalidité de 21,3 % dans les activités ménagères, après avoir passé en revue les activités que la recourante était en mesure d’effectuer avant son atteinte à la santé et celles qu’elle pouvait continuer à faire par la suite. Il faut relever que les conclusions de cette enquête ménagère n’ont pas été contestées dans le cadre de l’audition, ni dans le recours et les premiers échanges d’écritures. Ce n’est que dans son courrier du 14 avril 2021 que la recourante, par le biais de son mandataire, remet tout à coup en cause le taux d’invalidité retenu par l’enquêtrice quatre ans et demi auparavant. De même, la recourante ne contestait initialement pas l’octroi du trois-quarts de rente que l’OAI lui a alloué par la décision litigieuse, mais s’opposait uniquement à sa suppression. Les arguments avancés pour contester le rapport d’enquête ménagère ne convainquent pas. Le raisonnement du mandataire de la recourante, tendant à faire un parallèle entre l’incapacité de travail au niveau professionnel et les empêchements dans les activités ménagères ne saurait être suivi. Les exigences du monde du travail ne sauraient en effet être comparées aux possibilités pour la recourante d’effectuer des actes ménagers à domicile, à son rythme, en répartissant les activités sur la journée, en ménageant les pauses nécessaires et en s’aidant de moyens auxiliaires adéquats. L’enquêtrice relève à ce propos que la recourante</w:t>
      </w:r>
    </w:p>
    <w:p>
      <w:r>
        <w:t>- 22 - limite le dommage par l’utilisation d’un aspirateur léger à accu et d’un tabouret haut à roulettes pour la cuisine, ainsi qu’en fractionnant le travail, notamment pour le repassage. Par ailleurs, la recourante a indiqué que l’amélioration de santé liée à la pose de la pompe se remarquait surtout lors du repassage, mais que pour toutes les autres activités, les douleurs s’accentuaient dès qu’elle était en mouvement et surtout à mesure que la journée avançait (rapport p. 7). Il n’existe ainsi pas de lien direct entre la capacité de travail sur un plan professionnel et celle d’exécuter des tâches ménagères. Quant aux estimations d’invalidité faites par le mandataire de la recourante pour les travaux ménagers, outre qu’elles ne paraissent pas tenir compte de la pondération des différents champs d’activités, elles sont avancées de manière abstraite, dans le contexte d’une grande maison avec jardin et quatre enfants adolescents. Une telle argumentation ne permet pas de remettre en cause les conclusions motivées du rapport d’enquête, qui détaille, pour chacun des secteurs du ménage, les activités qui étaient réalisées par la recourante avant son atteinte à la santé et celles qui peuvent encore l’être, en pondérant l’importance des différents secteurs. S’agissant de l’aide du mari et des enfants, il n’apparaît pas que l’enquêtrice en ait tenu compte dans une mesure excessive puisqu’elle relève explicitement dans ses observations finales qu’une aide raisonnablement exigible a été prise en compte de leur part, en tenant compte du fait que tant le mari que les enfants sont peu disponibles, le premier en raison de son travail et les seconds en raison de leurs études et du sport. Par rapport à l’aide exigible, il n’est pas nécessaire d’examiner la question du départ des enfants de la maison familiale et de la dégradation de la santé du mari de la recourante puisqu’il s’agit de circonstances postérieures à la décision attaquée, rendue le 30 août 2017. Au vu de ce qui précède, il n’y a pas lieu de remettre en cause les conclusions du rapport d’enquête ménagère, qui peuvent être</w:t>
      </w:r>
    </w:p>
    <w:p>
      <w:r>
        <w:t>- 23 - considérées comme valables, à tout le moins jusqu’au moment où la décision attaquée a été rendue. c) Pendant la période de mai 2013 à septembre 2015, la recourante a présenté une totale incapacité de travail en toutes activités. Son degré d’invalidité dans l’activité professionnelle était donc de 100 %, alors que celui de l’activité ménagère s’élevait à 21,3 %. Il ne peut être question ici d’un abattement sur le revenu d’invalide comme sollicité par la recourante dans son écriture du 14 avril 2021 puisque l’incapacité de travail est totale et que le revenu d’invalide est donc déjà de zéro. Compte tenu du statut de 50 % active et 50 % ménagère, c’est à juste titre que l’OAI a retenu l’existence d’un degré d’invalidité global de 60,65 %, ouvrant le droit à un trois-quarts de rente.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Compte tenu du délai d’attente de six mois à compter du dépôt de la demande de prestations, intervenu en novembre 2014, le droit à un trois-quarts de rente s’ouvrait en mai 2015, comme retenu par l’OAI. d) Les experts concluent qu’à partir de septembre 2015 jusqu’à octobre 2016, la capacité de travail de la recourante dans une activité adaptée a été de 80 %, grâce à la mise en place de la pompe intrathécale de clonidine. Comme relevé par l’OAI dans ses déterminations du 26 janvier 2021, l’amélioration de la santé de la recourante peut être retenue à partir du 1er septembre 2015, dans la mesure où elle fait suite à la pose de la pompe, qui est intervenue le 20 juillet 2015. C’est d’ailleurs également à partir du 1er septembre 2015 que la Dre I.________ avait considéré que la recourante avait récupéré une capacité de travail de 80 %.</w:t>
      </w:r>
    </w:p>
    <w:p>
      <w:r>
        <w:t>- 24 - Le degré d’invalidité de 12,10 % calculé par l’OAI pour la part de l’activité professionnelle à 50 % n’est pas contesté et peut effectivement être confirmé. Dans la mesure où la recourante n’avait plus exercé d’activité professionnelle significative depuis des années, l’OAI était fondé à se référer à l’ESS tant pour le revenu avec invalidité que sans invalidité. Il a par ailleurs tenu compte du niveau de qualification de la recourante. Compte tenu du statut de 50 % active et 50 % ménagère, les taux d’invalidité respectifs de 12,10 % et 10,65 % mènent à un taux d’invalidité global de 22,75 %, insuffisant pour donner droit à une rente d’invalidité.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C’est dès lors à bon droit que l’OAI a mis fin au trois-quarts de rente d’invalidité octroyé à la recourante au 30 novembre 2015, soit trois mois après l’amélioration de son état de santé. e) La recourante s’est à nouveau retrouvée en incapacité totale de travailler dans son activité professionnelle à partir d’octobre 2016. Son degré d’invalidité global s’est alors monté à 60,65 % (soit 50 % pour la part active et 10,65 % pour les activités ménagères), ce qui lui donne à nouveau droit à un trois-quarts de rente d’invalidité. Conformément à l’art. 88a al. 2 RAI, si la capacité de gain de l’assuré ou sa capacité d’accomplir les travaux habituels se dégrade, ce changement est déterminant pour l’accroissement du droit aux prestations dès qu’il a duré trois mois sans interruption notable ; l’art. 29bis RAI est toutefois applicable par analogie. Selon la jurisprudence, ce délai</w:t>
      </w:r>
    </w:p>
    <w:p>
      <w:r>
        <w:t>- 25 - s'applique à l'occasion d'une procédure de révision (art. 17 LPGA), dans le cadre d'une modification du droit à une rente précédemment allouée ou lorsqu'une rente échelonnée dans le temps est accordée à titre rétroactif (TF 9C_302/2015 du 18 septembre 2015 consid. 5.1 ; TFA I 179/01 du 10 décembre 2001 consid. 3b).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celle qui a précédé le premier octroi. Il faut relever que le renvoi à l’art. 29bis RAI opéré par l’art. 88a al. 2 RAI a pour seul effet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 prévu à l’art. 88a RAI (dans ce sens : TF 9C_99/2012 du 24 septembre 2012 consid. 7 ; voir également TFA I 11/00 du 22 août 2001). En l’occurrence, l’aggravation de l’état de santé de la recourante est intervenue en octobre 2016, soit moins de trois ans après la suppression de la rente d’invalidité, de sorte qu’elle mène à l’octroi d’un trois-quarts de rente à partir du 1er janvier 2017, après le délai de trois mois de l’art. 88a al. 2 RAI, mais sans qu’il soit nécessaire de déduire une nouvelle fois la période d’attente de l’art. 28 al. 1 let. b LAI. f) A partir de juin 2019, selon l’expertise, la recourante a retrouvé une capacité de travail de 50 % sur le plan professionnel. Comme déjà mentionné plus haut, cette période ne fait pas partie de l’objet du litige. Il appartiendra à l’OAI de se prononcer, par le biais d’une nouvelle décision, sur le droit de la recourante aux prestations de l’assurance- invalidité en lien avec cette modification de son état de santé.</w:t>
      </w:r>
    </w:p>
    <w:p>
      <w:r>
        <w:t>- 26 -</w:t>
      </w:r>
    </w:p>
    <w:p>
      <w:r>
        <w:rPr>
          <w:b/>
        </w:rPr>
        <w:t>E. 8</w:t>
      </w:r>
    </w:p>
    <w:p>
      <w:r>
        <w:t>Au vu de ce qui précède, il faut constater que les pièces médicales au dossier permettent à la Cour de céans de statuer, sans qu’il apparaisse nécessaire de procéder à l’audition de la recourante ou de témoins. En effet, de telles mesures ne seraient pas de nature à modifier les considérations qui précèdent, les faits pertinents ayant pu être constatés à satisfaction de droit. Les requêtes de la recourante en ce sens doivent ainsi être rejetées par appréciation anticipée des preuves (ATF 140 I 285 consid. 6.3.1 ; 130 II 425 consid. 2.1).</w:t>
      </w:r>
    </w:p>
    <w:p>
      <w:r>
        <w:rPr>
          <w:b/>
        </w:rPr>
        <w:t>E. 9</w:t>
      </w:r>
    </w:p>
    <w:p>
      <w:r>
        <w:t>a) Le recours est partiellement admis. La décision rendue par l’OAI le 30 août 2017 est confirmée en tant qu’elle octroie à la recourante un trois-quarts de rente d’invalidité du 1er mai 2015 au 30 novembre 2015, et réformée en ce sens que la recourante a également droit à un trois-quarts de rente d’invalidité à compter du 1er janvier 2017.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de la recourante qui n’obtient que partiellement gain de cause. Par ailleurs, assistée d’un mandataire qualifié, la recourante a droit à des dépens réduits, qu’il convient de fixer à 1'300 fr., débours et TVA compris (art. 61 let. g LPGA, art. 10 et 11 TFJDA [tarif du 28 avril 2015 des frais judiciaires et des dépens en matière administrative ; BLV 173.36.5.1]), et de mettre à la charge de l’intimé. Par ces motifs,</w:t>
      </w:r>
    </w:p>
    <w:p>
      <w:r>
        <w:t>- 27 - la Cour des assurances sociales p r o n o n c e : I. Le recours est partiellement admis, dans la mesure où il est recevable. II. La décision rendue le 30 août 2017 par l’Office de l’assurance- invalidité pour le canton de Vaud est confirmée en tant qu’elle alloue un trois-quarts de rente d’invalidité à P.________ du 1er mai 2015 au 30 novembre 2015, et réformée en ce sens que P.________ a également droit à un trois-quarts de rente d’invalidité à partir du 1er janvier 2017. III. Les frais judiciaires, arrêtés à 400 fr. (quatre cents francs), sont mis par 200 fr. (deux cents francs) à la charge de l’Office de l’assurance-invalidité pour le canton de Vaud et par 200 fr. (deux cents francs) à la charge de la recourante. IV. L’Office de l'assurance-invalidité pour le canton de Vaud versera à P.________ une indemnité de 1'300 fr. (mille trois cents francs) à titre de dépens. Le président : La greffière : Du L'arrêt qui précède, dont la rédaction a été approuvée à huis clos, est notifié à : - Me Olivier Carré (pour P.________), - Office de l’assurance-invalidité pour le canton de Vaud, - Office fédéral des assurances sociales,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