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ZD17.041814 vom 16. Mai 2018</w:t>
      </w:r>
    </w:p>
    <w:p>
      <w:r>
        <w:t>VD Tribunal cantonal, 2018-05-16, FR</w:t>
      </w:r>
    </w:p>
    <w:p>
      <w:r>
        <w:rPr>
          <w:b/>
        </w:rPr>
        <w:t xml:space="preserve">Quelle: </w:t>
      </w:r>
      <w:r>
        <w:t>https://mcp.opencaselaw.ch/entscheid/vd_gerichte_ZD17.041814</w:t>
      </w:r>
    </w:p>
    <w:p>
      <w:r>
        <w:t>FR: VD_GERICHTE ZD17.041814 du 16 mai 2018</w:t>
      </w:r>
    </w:p>
    <w:p>
      <w:r>
        <w:t>IT: VD_GERICHTE ZD17.041814 del 16 maggio 2018</w:t>
      </w:r>
    </w:p>
    <w:p>
      <w:pPr>
        <w:pStyle w:val="Heading2"/>
      </w:pPr>
      <w:r>
        <w:t>Erwägungen</w:t>
      </w:r>
    </w:p>
    <w:p>
      <w:r>
        <w:rPr>
          <w:b/>
        </w:rPr>
        <w:t>E. 1</w:t>
      </w:r>
    </w:p>
    <w:p>
      <w:r>
        <w:t>a) Les dispositions de la loi fédérale du 6 octobre 2000 sur la partie générale du droit des assurances sociales (LPGA ;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(art. 61 let. b LPGA), de sorte qu'il est recevable.</w:t>
      </w:r>
    </w:p>
    <w:p>
      <w:r>
        <w:t>- 6 -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2.1; 125 V 413 consid. 2c). b) Le litige porte sur le refus de l’intimé d’entrer en matière sur la nouvelle demande de prestations présentée par la recourante le 31 mars 2017, singulièrement sur la question de savoir si cette dernière a rendu plausible, eu égard aux pièces produites devant l’intimé, une modification significative de l’état de fait qui justifierait un nouvel examen de son cas depuis la dernière décision statuant sur son droit aux prestations entrée en force. La conclusion prise par la recourante dans son recours tendant à l’augmentation des prestations de l’assurance-invalidité sort de l’objet de la contestation, lequel est limité à la question du refus d’entrée en matière sur la nouvelle demande de prestations.</w:t>
      </w:r>
    </w:p>
    <w:p>
      <w:r>
        <w:rPr>
          <w:b/>
        </w:rPr>
        <w:t>E. 3</w:t>
      </w:r>
    </w:p>
    <w:p>
      <w:r>
        <w:t>a) Selon l’art. 87 al. 2 RAI (règlement du 17 janvier 1961 sur l'assurance-invalidité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Ces exigences permettent à l'administration qui a précédemment rendu une décision entrée en force d'écarter sans plus ample examen de nouvelles demandes dans lesquelles l'assuré se borne à répéter les mêmes arguments, sans rendre plausible une modification des</w:t>
      </w:r>
    </w:p>
    <w:p>
      <w:r>
        <w:t>- 7 - faits déterminants (ATF 133 V 108 consid. 5.2 ; 130 V 64 consid. 5.2.3 ; 117 V 198 consid. 4b et 109 V 108 consid. 2a).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(ATF 117 V 198 consid. 3a ; TF 9C_789/2012 du 27 juillet 2013 consid. 2.2). Cette exigence ne consiste toutefois pas à obliger l’assuré à apporter des preuves qui ne lui sont pas accessibles, mais de permettre à l’administration d’écarter des demandes excessives sans plus ample examen.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 vieillesse et survivants (AVS) et de l’assurance-invalidité (AI), Genève/Zurich/Bâle 2011, n° 3100 p. 840 s.).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TF 9C_789/2012 précité consid. 2.2). b) Le principe inquisitoire, selon lequel les faits pertinents de la cause doivent être constatés d'office par l'autorité (art. 43 al. 1 LPGA),</w:t>
      </w:r>
    </w:p>
    <w:p>
      <w:r>
        <w:t>- 8 - ne s'applique pas à la procédure de l'art. 87 al. 2 RAI (procédure qui figurait auparavant à l’art. 87 al. 3 aRAI ; ATF 130 V 64 consid. 5.2.5). Eu égard au caractère atypique de celle-ci dans le droit des assurances sociales, le Tribunal fédéral a précisé que l'administration pouvait appliquer par analogie l'art. 73 aRAI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et 9 Cst. [Constitution fédérale de la Confédération suisse du 18 avril 1999 ; RS 101] ; ATF 124 II 265 consid. 4a p. 269s.).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TF 9C_789/2012 précité consid. 2.3 et 9C_708/2007 du 11 septembre 2008 consid. 2.3 ; TFA I 52/03 du 16 janvier 2004 consid. 2.2). c)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(TF 9C_959/2011 du 6 août 2012 consid. 4.3). Partant, les rapports médicaux produits ultérieurement au prononcé de la décision administrative ne peuvent être pris en considération dans un litige de ce genre (TF I 597/05 du 8 janvier 2007 consid. 4.1 et les références citées).</w:t>
      </w:r>
    </w:p>
    <w:p>
      <w:r>
        <w:t>- 9 - d) En conséquence, il ne peut être tenu compte dans le cadre de la présente procédure des rapports médicaux ultérieurs à la décision de l’intimé du 5 septembre 2017, quel que soit leur contenu. Est réservée l’ouverture d’une procédure de révision d’office par l’intimé sur la base de ces rapports. C’est donc uniquement sur la base du rapport du Dr S.________, daté du 23 mai 2017, soit antérieurement à la décision attaquée, qu’il convient de déterminer si une aggravation de l’état de santé de la recourante est rendue plausible.</w:t>
      </w:r>
    </w:p>
    <w:p>
      <w:r>
        <w:rPr>
          <w:b/>
        </w:rPr>
        <w:t>E. 4</w:t>
      </w:r>
    </w:p>
    <w:p>
      <w:r>
        <w:t>Dans sa réponse au recours, l’OAI a précisé ne jamais avoir été en possession du rapport du Dr S.________ avant sa production dans la présente procédure. a)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124 V 372 consid. 3 in fine ; TF 9C_400/2012 du 4 avril 2013 consid. 5.2 ; TFA U 316/00 du 22 mars 2001 consid. 1b). Selon le Tribunal fédéral, ce fardeau peut être renversé, passant ainsi vers l’assureur, lorsqu’une partie se trouve dans l’impossibilité de fournir une preuve pour des raisons qui incombent à l’autorité. C’est notamment le cas pour des questions de respect des délais, lorsqu’une preuve a été adressée sous pli simple à l’autorité et que, en violation des règles de gestion des actes de procédure, l’enveloppe qui contenait la preuve a été égarée, rendant ainsi la production d’une preuve attestant du respect des délais impossible pour l’autre partie (ATF 138 V 218 consid. 8.1.1 p. 223). Dans le domaine des assurances sociales, dites règles de gestion sont concrétisées à l’art. 46 LPGA, qui stipule que lors de chaque procédure relevant des assurances sociales, l'assureur enregistre de manière systématique tous les documents qui peuvent être déterminants (ATF 138 V 218 consid. 8.1.2).</w:t>
      </w:r>
    </w:p>
    <w:p>
      <w:r>
        <w:t>- 10 - b) En l’espèce, le rapport du Dr S.________ a apparemment été adressé sous pli simple à l’intimé, de telle sorte que la recourante n’est pas en mesure d’apporter la preuve de sa communication à l’intimé. Par surabondance de droit, dans l’hypothèse d’une réception effective de ce rapport par l’OAI, l’intimé serait tenu pour responsable d’une violation de l’art. 46 LPGA. Comme mentionné précédemment (considérant 4a), une telle violation peut entraîner le renversement du fardeau de la preuve à charge de l’administration. Cependant, force est de constater que la recourante ne s’est pas trouvée dans l’impossibilité subséquente, et imputable à l’OAI, de fournir le moyen de preuve en question. En effet, la procédure devant l’OAI n’étant pas terminée, il incombait à la recourante de réagir au projet de décision du 22 juin 2017. Face à ce projet qui ne citait ni le rapport du Dr S.________, ni se référait à son contenu, il aurait été possible et exigible de l’assurée de demander à l’OAI de prendre position sur le rapport de son médecin spécialiste, voire la production de son dossier, respectivement de rappeler l’existence de ce rapport à l’OAI. Suite à cette démarche, la recourante, respectivement l’OAI, se seraient rendus compte de l’absence de ce rapport au dossier administratif. La recourante n’a ainsi pas été empêchée de réitérer son offre de preuve en temps utile.</w:t>
      </w:r>
    </w:p>
    <w:p>
      <w:r>
        <w:rPr>
          <w:b/>
        </w:rPr>
        <w:t>E. 5</w:t>
      </w:r>
    </w:p>
    <w:p>
      <w:r>
        <w:t>a) En définitive, le recours, mal fondé, doit être rejeté, ce qui entraîne la confirmation de la décision attaquée. b) Compte tenu de l'ampleur de la procédure, les frais de justice sont arrêtés à 400 fr. et mis à la charge de la recourante qui succombe (art. 69 al. 1bis LAI et 49 al. 1 LPA-VD). c) La recourante a été mise au bénéfice de l’assistance judiciaire s’agissant des frais, de sorte que ceux-ci sont provisoirement à la charge du canton (art. 122 al. 1 let. b CPC [code de procédure civile du 19 décembre 2008 ; RS 272], applicable par renvoi de l’art. 18 al. 5 LPA- VD). La partie qui a obtenu l’assistance judiciaire est tenue à remboursement dès qu’elle est en mesure de le faire (art. 123 al. 1 CPC également applicable par renvoi de l’art. 18 al. 5 LPA-VD).</w:t>
      </w:r>
    </w:p>
    <w:p>
      <w:r>
        <w:t>- 11 - d) Il n'y a par ailleurs pas lieu d'allouer de dépens, la recourante, au demeurant non assistée par un mandataire professionnel,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