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ZD17.041806 vom 7. Mai 2019</w:t>
      </w:r>
    </w:p>
    <w:p>
      <w:r>
        <w:t>VD Tribunal cantonal, 2019-05-07, FR</w:t>
      </w:r>
    </w:p>
    <w:p>
      <w:r>
        <w:rPr>
          <w:b/>
        </w:rPr>
        <w:t xml:space="preserve">Quelle: </w:t>
      </w:r>
      <w:r>
        <w:t>https://mcp.opencaselaw.ch/entscheid/vd_gerichte_ZD17.041806</w:t>
      </w:r>
    </w:p>
    <w:p>
      <w:r>
        <w:t>FR: VD_GERICHTE ZD17.041806 du 7 mai 2019</w:t>
      </w:r>
    </w:p>
    <w:p>
      <w:r>
        <w:t>IT: VD_GERICHTE ZD17.041806 del 7 maggio 2019</w:t>
      </w:r>
    </w:p>
    <w:p>
      <w:pPr>
        <w:pStyle w:val="Heading2"/>
      </w:pPr>
      <w:r>
        <w:t>Erwägungen</w:t>
      </w:r>
    </w:p>
    <w:p>
      <w:r>
        <w:rPr>
          <w:b/>
        </w:rPr>
        <w:t>E. 3</w:t>
      </w:r>
    </w:p>
    <w:p>
      <w:r>
        <w:t>Dans un premier grief de nature formelle, la recourante se plaint d’une violation de son droit d’être entendue pour défaut de motivation de la décision attaquée, en tant que l’office intimé n’aurait pas motivé le choix des statistiques retenues pour fixer le degré d’invalidité pour la part qu'elle consacre à son activité lucrative, respectivement le refus de procéder à une comparaison des revenus.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w:t>
      </w:r>
    </w:p>
    <w:p>
      <w:r>
        <w:t>- 11 - sur des allégués et arguments qui présentent une certaine pertinence ou de prendre en considération des allégués et arguments importants pour la décision à rendre (ATF 142 III 360 consid. 4.1.1 ; 141 V 557 consid. 3.2.1 ; 133 III 235 consid. 5.2). b) Pour autant qu'il puisse être considéré comme suffisamment motivé, le grief de violation de l'art. 29 al. 2 Cst. pour défaut de motivation de la décision attaquée n’est pas fondé en l'espèce. La motivation de ladite décision permet en effet de comprendre les éléments qui ont été retenus par l’office intimé et pourquoi ils l'ont été. En réalité, les griefs formulés par la recourante se confondent avec celui de violation du droit et doivent être examinés avec le fond du litige.</w:t>
      </w:r>
    </w:p>
    <w:p>
      <w:r>
        <w:rPr>
          <w:b/>
        </w:rPr>
        <w:t>E. 4</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Aux termes de l’art. 29 LAI, le droit à la rente prend naissance au plus tôt à l’échéance d’une période de six mois à compter de la date à laquelle l’assuré a fait valoir son droit aux prestations conformément à l’art. 29 al. 1 LPGA, mais pas avant le mois qui suit le 18e</w:t>
      </w:r>
    </w:p>
    <w:p>
      <w:r>
        <w:t>- 12 - anniversaire de l’assuré (al. 1) ; la rente est versée dès le début du mois au cours duquel le droit prend naissance (al. 3).</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également TF 9C_236/2009 du 7 octobre 2009 consid. 3 et 4).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Par travaux habituels, il faut notamment entendre l'activité usuelle dans le ménage, l'éducation des enfants ainsi que toute activité artistique ou d'utilité publique (art. 27 RAI dans sa teneur en vigueur jusqu’au 31 décembre 2017 vu la date de la</w:t>
      </w:r>
    </w:p>
    <w:p>
      <w:r>
        <w:t>- 13 - décision litigieuse, soit le 31 août 2017 ; ATF 137 V 334 ; 131 V 51 consid. 5.1.2).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dans sa teneur en vigueur jusqu’au 31 décembre 2017 vu la date de la décision litigieuse, soit le 31 août 2017 ; ATF 137 V 334 ;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t>- 14 -</w:t>
      </w:r>
    </w:p>
    <w:p>
      <w:r>
        <w:rPr>
          <w:b/>
        </w:rPr>
        <w:t>E. 6</w:t>
      </w:r>
    </w:p>
    <w:p>
      <w:r>
        <w:t>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citées).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w:t>
      </w:r>
    </w:p>
    <w:p>
      <w:r>
        <w:t>- 15 - Circulaire de l'OFAS sur l'invalidité et l'impotence dans l'assurance- invalidité (CIIAI ; ATF 137 V 334 consid. 4.2 et les références citées). c) Dans la mesure où la décision litigieuse est intervenue avant l'entrée en vigueur, le 1er janvier 2018, de la novelle du 1er décembre 2017 modifiant le RAI, il convient d’examiner la situation à la lumière des dispositions légales et réglementaires applicables jusqu'au 31 décembre 2017.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136 V 24 consid. 4.3 et les références citées).</w:t>
      </w:r>
    </w:p>
    <w:p>
      <w:r>
        <w:rPr>
          <w:b/>
        </w:rPr>
        <w:t>E. 7</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w:t>
      </w:r>
    </w:p>
    <w:p>
      <w:r>
        <w:t>- 16 -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w:t>
      </w:r>
    </w:p>
    <w:p>
      <w:r>
        <w:rPr>
          <w:b/>
        </w:rPr>
        <w:t>E. 8</w:t>
      </w:r>
    </w:p>
    <w:p>
      <w:r>
        <w:t>En l’occurrence, il est admis que la recourante, si elle était demeurée en bonne santé, aurait consacré 80 % de son temps à l’exercice d’une activité lucrative et le reste à l’accomplissement de ses travaux habituels.</w:t>
      </w:r>
    </w:p>
    <w:p>
      <w:r>
        <w:rPr>
          <w:b/>
        </w:rPr>
        <w:t>E. 9</w:t>
      </w:r>
    </w:p>
    <w:p>
      <w:r>
        <w:t>En ce qui concerne la part qu’elle aurait consacré à l’exercice d’une activité lucrative, la recourante conteste aussi bien l’évaluation de sa capacité de travail faite par l’office intimé, que l’appréciation de l’exigibilité et la comparaison des revenus. a) Dans un premier temps, il convient de déterminer quelle est la capacité résiduelle de travail de la recourante au regard des troubles liés à sa pluripathologie. aa) Sur le plan locomoteur, la recourante souffre d’arthrose aux deux genoux ainsi que de lombalgies. D’après les conclusions du rapport établi le 17 août 2016 par le Dr L.________ à l’issue de l’examen clinique rhumatologique auquel il a procédé, la recourante présentait une diminution de la tolérance à la position debout en raison de son arthrose ; aucune limitation ne résultait en revanche de ses troubles à la colonne vertébrale. Selon ce médecin, la recourante était en mesure d’exercer à plein temps une activité adaptée à ses limitations fonctionnelles (pas d’activités en position accroupie ou à genoux ; pas de marche sur terrain irrégulier ou prolongée ; pas de montée ou de descente fréquente des escaliers ; pas de position debout au-delà de 30 minutes ; pas de port de charges au-delà de 10 kg ; pas de mouvements de torsion des genoux ; pas de choc sur les genoux). Il n’y a pas de raison en l’occurrence de</w:t>
      </w:r>
    </w:p>
    <w:p>
      <w:r>
        <w:t>- 17 - s’écarter de cette appréciation. Les différents examens radiologiques auxquels la recourante s’est soumise au cours de la procédure sont peu contributifs et ne permettent pas d’expliquer l’importance des plaintes exprimées (cf. rapports des Drs B.________ du 13 juillet 2016 et E.________ du 19 décembre 2016, tous deux spécialistes en radiologie). L’examen neurologique réalisé par le Dr Z.________, spécialiste en neurologie, ne faisait pour sa part état d’aucun déficit objectif au niveau des membres inférieurs (rapport du 30 janvier 2017). Quant au Prof. K.________, spécialiste en médecine physique et réadaptation, il mentionnait, dans son rapport du 18 juillet 2017, des lombosciatalgies gauches sans irritation radiculaire ni déficience neurologique, non expliquées par l’imagerie ; il évoquait la possibilité d’un syndrome facettaire, lequel pouvait être traité par des exercices de physiothérapie adaptés. En revanche, il n’y a pas lieu de retenir le diagnostic de fibromyalgie, évoqué par le Dr L.________ afin de qualifier les douleurs ressenties par la recourante, dès lors qu’il n’a pas été repris par le Prof. K.________. bb) Toujours sur le plan locomoteur, la recourante se plaint de fourmillements et de sensations d’engourdissement aux deux mains, avec parfois des blocages. Il n’est toutefois pas possible de retenir de limitations à ce niveau. L’examen neurologique réalisé par le Dr Z.________ a relevé des paramètres neurographiques bilatérales rigoureusement physiologiques pour les troncs médian et cubital au passage du poignet, ainsi que l’absence d’éléments évocateurs d’une souffrance d’origine radiculaire ou plexulaire (rapport du 30 janvier 2017). Une radiographie de la main droite réalisée le 25 mai 2016 n’a pas mis en évidence de lésion osseuse (rapport du Dr Q.________, spécialiste en radiologie, du 27 mai 2016). cc) Sur le plan cardiologique, la recourante a présenté des tachycardies atriales multifocales, pour lesquelles elle a fait l’objet d’une procédure d’isolation des veines pulmonaires par cryothérapie. D’après un bilan réalisé par le Dr P.________, spécialiste en cardiologie, la situation était satisfaisante neuf mois après l’intervention (rapport du 15 novembre 2017).</w:t>
      </w:r>
    </w:p>
    <w:p>
      <w:r>
        <w:t>- 18 - dd) Sur le plan gynécologique, la recourante souffre d’une incontinence d’effort en position debout uniquement, d’une hyperactivité vésicale ainsi que de douleurs persistantes du pli inguinal gauche. D’après le Dr O.________ (rapport du 25 février 2019), cette incontinence pouvait, selon l’activité, influencer la capacité de travail jusqu’à 50 %. Au vu des explications fournies par ce médecin, il y a lieu de comprendre que la capacité de travail dépendait de la possibilité pour la recourante de pouvoir accéder facilement à des toilettes. Il n’en demeure pas moins que l’exercice d’une activité à plein temps demeurait parfaitement envisageable, pour autant que cette activité soit parfaitement adaptée aux limitations fonctionnelles (pas de port de charges supérieures à 3 kg ; possibilité de quitter son poste de travail et de se rendre rapidement aux toilettes si nécessaire). Au surplus, le Dr O.________ a expliqué qu’il existait des thérapies (pose d’une nouvelle bandelette sous-urétrale ; injections intra-vésicales de toxine botulique) susceptibles d’améliorer la situation sur le plan urogynécologique, même si leur succès n’était pas garanti. ee) Au final, il y lieu de retenir que la recourante dispose, malgré les différentes atteintes à la santé qu’elle présente, d’une pleine capacité de travail dans une activité parfaitement adaptée à ses limitations fonctionnelles (pas d’activités en position accroupie ou à genoux ; pas de marche sur terrain irrégulier ou prolongée ; pas de montée ou de descente fréquente des escaliers ; pas de position debout au-delà de 30 minutes ; pas de mouvements de torsion des genoux ; pas de choc sur les genoux ; pas de port de charges supérieures à 3 kg ; possibilité de quitter son poste de travail et de se rendre rapidement aux toilettes si nécessaire). ff) Selon la Dresse Y.________, les limitations fonctionnelles présentées par sa patiente seraient telles qu’il n’existerait pas de travail adapté et que, partant, sa capacité de travail serait nulle. Force est toutefois de constater que les différents avis exprimés par ce médecin sont particulièrement succincts (cf. rapports des 3 septembre 2015, 2 mai 2016, 19 janvier 2017, 27 avril 2017, 4 août 2017 et 8 octobre 2018) et</w:t>
      </w:r>
    </w:p>
    <w:p>
      <w:r>
        <w:t>- 19 - principalement axés sur les plaintes de la recourante, lesquelles ne sont, hormis les douleurs aux genoux, pas corroborées par des éléments objectifs attestés par des pièces médicales. gg) Dans le cadre de son examen clinique, le Dr L.________ a mis en évidence de nombreuses incohérences ainsi que la présence de facteurs non-médicaux (faible scolarisation, absence de formation professionnelle, déficits d’intégration, âge) susceptibles d’expliquer ces incohérences. Or la jurisprudence a souligné que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hh) Compte tenu de ce qui précède, il n’y a pas lieu de donner suite aux mesures d’instruction complémentaires requises par la recourante (à savoir en particulier la mise en œuvre d’une expertise pluridisciplinaire ainsi que son audition personnelle). En effet, de telles mesures d’instruction ne seraient pas de nature à modifier les</w:t>
      </w:r>
    </w:p>
    <w:p>
      <w:r>
        <w:t>- 20 - considérations qui précèdent (appréciation anticipée des preuves ; ATF 137 III 208 consid. 2.2 ; 135 II 286 consid. 5.1). b) La recourante soutient que son âge, ses connaissances linguistiques, son parcours professionnel et ses limitations fonctionnelles rendent illusoire l’exercice d’une activité adaptée.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(TF 8C_466/2015 du 26 avril 2016 consid. 3.2.2).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w:t>
      </w:r>
    </w:p>
    <w:p>
      <w:r>
        <w:t>- 21 - bb) En l’occurrence, il convient d'admettre que le marché du travail offre un large éventail d'activités légères, dont on doit convenir qu'un nombre significatif sont adaptées aux limitations de la recourante et accessibles sans aucune formation particulière. A cet égard, la recourante n'établit pas de manière convaincante en quoi des activités simples de montage, de vérification ou de contrôle (cf. rapport final du service de réadaptation du 17 novembre 2016) ne seraient pas exigibles au regard des limitations retenues. On rappellera au demeurant qu'il n'y a pas lieu, dans ce contexte, d'examiner dans quelle mesure la situation concrète du marché du travail permettrait à la recourante de retrouver un emploi (TF 9C_31/2010 du 28 septembre 2010 consid. 4.3). c) Cela étant constaté, il y a lieu de déterminer le degré d'invalidité de la recourante. aa)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éventuelle réduction du revenu d'invalide (TFA I 168/05 du 24 avril 2006 consid. 3.3) afin de tenir compte, conformément aux principes développés à l'ATF 126 V 75, de l'ensemble des circonstances personnelles et professionnelles du cas particulier (TF I 948/06 du 8 février 2007 consid. 4.2 ; TFA I 1/03 du 15 avril 2003 consid. 5.2). bb) La mesure dans laquelle les salaires ressortant des statistiques doivent être réduits dépend de l'ensemble des circonstances personnelles et professionnelles du cas particulier (limitations liées au handicap, à l’âge, aux années de service, à la nationalité/catégorie d'autorisation de séjour et au taux d'occupation). Une déduction globale maximum de 25 % sur le salaire statistique permet de tenir compte des différents éléments qui peuvent influencer le revenu d'une activité</w:t>
      </w:r>
    </w:p>
    <w:p>
      <w:r>
        <w:t>- 22 - lucrative (ATF 135 V 297 consid. 5.2 et les références citées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cc) En l'absence de revenu clairement établi, il convient de se référer aux données statistiques et de se demander s'il se justifie d'opérer un abattement afin de tenir compte des circonstances personnelles et professionnelles du cas particulier. Or, si l’âge de la recourante et sa nationalité ne sauraient constituer des circonstances pertinentes au regard des activités qui s’offrent encore à elle, il ne fait en revanche guère de doute que les problèmes d’incontinence rencontrés par la recourante – en tant qu’ils la contraignent à s’éloigner régulièrement de son poste de travail – contribuent indéniablement à la désavantager par rapport à des personnes qui ne présentent pas de pathologie similaire et qui souhaitent exercer une activité semblable à celle que la recourante peut exercer. Seules des concessions salariales importantes peuvent à l'évidence compenser cette situation et lui permettre de demeurer compétitive sur le marché du travail. Dans cette mesure, il convient d'admettre qu’un abattement de 10 %, tel que retenu par l’office intimé, ne tient pas compte dans sa juste mesure des circonstances pouvant influer sur le</w:t>
      </w:r>
    </w:p>
    <w:p>
      <w:r>
        <w:t>- 23 - revenu d’une activité lucrative et qu’un abattement de 20 % apparaît plus conforme. dd) Sur le vu de ce qui précède, il convient d’arrêter le degré d’invalidité pour la part que la recourante consacre à son activité lucrative à 20 %.</w:t>
      </w:r>
    </w:p>
    <w:p>
      <w:r>
        <w:rPr>
          <w:b/>
        </w:rPr>
        <w:t>E. 10</w:t>
      </w:r>
    </w:p>
    <w:p>
      <w:r>
        <w:t>a) En ce qui concerne la part que la recourante consacre à l’accomplissement de ses travaux habituels, il n’y a pas lieu de se distancer des observations consignées dans le rapport d’enquête économique sur le ménage du 6 septembre 2016, lequel a mis en évidence l’existence d’un empêchement de 11 %. Ce document, qui remplit toutes les exigences auxquelles la jurisprudence soumet la valeur probante d'un tel document (cf. ATF 128 V 93), n’est pas véritablement remis en cause par la recourante, celle-ci se limitant à alléguer une évolution de la cellule familiale sans étayer ses propos par un quelconque élément de preuve. En revanche, il convient de souligner que le Dr O.________ a clairement indiqué que les limitations fonctionnelles de la recourante sur le plan urogynécologique n’étaient pas susceptibles de la limiter dans l’accomplissement de ses tâches ménagères (rapport du 25 février 2019). b) Au surplus, il y a lieu de préciser que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femme de ménage,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8 al. 3 LPGA et 27 RAI) s'évalue différemment. Elle se fonde non seulement sur</w:t>
      </w:r>
    </w:p>
    <w:p>
      <w:r>
        <w:t>- 24 -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ch. 3087 ss de la Circulaire de l'OFAS concernant l'invalidité et l'impotence de l'assurance-invalidité établie [CIIAI]). La tenue d'un ménage privé permet, par ailleurs, des adaptations de l'activité aux problèmes physiques qui ne sont pas nécessairement compatibles avec les exigences de rendement propres à l'exercice similaire dans un contexte professionnel.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(TF 9C_406/2008 du 22 juillet 2008 consid. 4.3 et les références citées).</w:t>
      </w:r>
    </w:p>
    <w:p>
      <w:r>
        <w:rPr>
          <w:b/>
        </w:rPr>
        <w:t>E. 11</w:t>
      </w:r>
    </w:p>
    <w:p>
      <w:r>
        <w:t>Sur le vu de ce qui précède, le taux d'invalidité globale doit être fixé à 18 % ([20 x 0,8] + [11 x 0,2]), taux insuffisant pour ouvrir le droit à une rente de l’assurance-invalidité.</w:t>
      </w:r>
    </w:p>
    <w:p>
      <w:r>
        <w:rPr>
          <w:b/>
        </w:rPr>
        <w:t>E. 12</w:t>
      </w:r>
    </w:p>
    <w:p>
      <w:r>
        <w:t>a) Mal fondé, le recours doit par conséquent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compte tenu de l’ampleur de la procédure, les frais de justice doivent être fixés à 400 fr. et mis à la charge de la recourante, qui succombe. c) Il n’y a pas lieu d’allouer de dépens, la recourante n’obtenant pas gain de cause (art.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