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ZD17.040397 vom 4. November 2019</w:t>
      </w:r>
    </w:p>
    <w:p>
      <w:r>
        <w:t>VD Tribunal cantonal, 2019-11-04, FR</w:t>
      </w:r>
    </w:p>
    <w:p>
      <w:r>
        <w:rPr>
          <w:b/>
        </w:rPr>
        <w:t xml:space="preserve">Quelle: </w:t>
      </w:r>
      <w:r>
        <w:t>https://mcp.opencaselaw.ch/entscheid/vd_gerichte_ZD17.040397</w:t>
      </w:r>
    </w:p>
    <w:p>
      <w:r>
        <w:t>FR: VD_GERICHTE ZD17.040397 du 4 novembre 2019</w:t>
      </w:r>
    </w:p>
    <w:p>
      <w:r>
        <w:t>IT: VD_GERICHTE ZD17.040397 del 4 novembre 2019</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w:t>
      </w:r>
    </w:p>
    <w:p>
      <w:r>
        <w:t>- 31 -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w:t>
      </w:r>
    </w:p>
    <w:p>
      <w:r>
        <w:t>- 32 - fédéral de la statistique dans l’Enquête suisse sur la structure des salaires (ESS ; ATF 129 V 472 consid. 4.2.1). b/bb)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5</w:t>
      </w:r>
    </w:p>
    <w:p>
      <w:r>
        <w:t>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w:t>
      </w:r>
    </w:p>
    <w:p>
      <w:r>
        <w:t>- 33 - raisonnablement exigible de la part de la personne assurée (ATF 125 V 256 consid. 4 ; 115 V 133 consid. 2 ; 114 V 310 consid. 3c ; 105 V 156 consid. 1 ; TF I 562/06 du 25 juillet 2007 consid. 2.1 ; TFA I 274/2005 du 21 mars 2006 consid. 1.2).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w:t>
      </w:r>
    </w:p>
    <w:p>
      <w:r>
        <w:t>- 34 - constatations du médecin de l’assurance (ATF 125 V 351 consid. 3b/bb et cc et les références citées ; TF 8C_796/2016 du 14 juin 2017 consid. 3.3).</w:t>
      </w:r>
    </w:p>
    <w:p>
      <w:r>
        <w:rPr>
          <w:b/>
        </w:rPr>
        <w:t>E. 6</w:t>
      </w:r>
    </w:p>
    <w:p>
      <w:r>
        <w:t>Les atteintes à la santé à prendre en considération dans l’examen du droit à une rente d’invalidité peuvent être d’ordre somatique ou de nature psychique (et autres affections psychosomatiques assimilées). a) Le Tribunal fédéral a modifié sa pratique en matière d’évaluation du droit à une rente de l’assurance-invalidité en cas de troubles somatoformes douloureux et d’affections psychosomatiques assimilées (ATF 141 V 281 consid. 4.2), soit tous les syndromes sans pathogénèse claire et sans constat de déficit organique (ATF 141 V 281 consid. 6 et 10.2).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Une fois le diagnostic posé, la capacité de travail réellement exigible doit être examinée au moyen d’un catalogue d’indicateurs,</w:t>
      </w:r>
    </w:p>
    <w:p>
      <w:r>
        <w:t>- 35 -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- 36 -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7</w:t>
      </w:r>
    </w:p>
    <w:p>
      <w:r>
        <w:t>a) En l’espèce, au terme des mesures d’instruction médicale, l’intimé a considéré que si la recourante a présenté des incapacités de travail invalidantes lui ouvrant d’abord le droit à un quart de rente d’invalidité puis à une rente complète, son état de santé s’est amélioré à partir du mois de février 2013, de sorte que dès cette date elle dispose d’une capacité de travail de 75 % dans une activité adaptée à ses limitations fonctionnelles, ce qui justifie la suppression de toute rente d’invalidité trois mois après le début de l’amélioration, soit au 30 avril 2013. Pour sa part, la recourante fait valoir qu’elle est en incapacité totale de travail dans toute activité et qu’elle a droit à une rente entière d’invalidité dès le 1er juillet 2012, non limitée dans le temps. Elle se réfère</w:t>
      </w:r>
    </w:p>
    <w:p>
      <w:r>
        <w:t>- 37 - en cela à l’expertise privée du Dr B.________ qu’elle a produite en procédure. b) Pour rappel, l’assurée a déposé une demande de prestations d’invalidité en septembre 2011 pour des cervicalgies avec une cervicarthrose en C5-C6 et un tendon enflammé au bras gauche. Elle est suivie par un rhumatologue, le Dr L.________ et a fait l’objet d’une première expertise en mai 2012 confiée par l’assureur perte de gain au Dr K.________, également rhumatologue, qui a posé les diagnostics de cervico- brachialgies bilatérales, de discopathie C5-C6 et C6-C7 ainsi que de tendinopathie du sus-épineux gauche et conclu que la capacité de travail dans l’activité de vendeuse était de 50 % et que, dans une activité adaptée évitant les mobilisations cervicales et la position statique prolongée, les travaux de force et répétitifs impliquant les membres supérieurs, la capacité de travail était d’au moins 75 %. Par la suite, l’assurée a été opérée dans le Service de neurochirurgie du A._________ pour une discectomie C5/C6 mais des paresthésies ont subsisté. En février 2013, le Dr L.________ constatait la persistance des douleurs cervicales de caractère musculaire ; il relevait aussi l’accentuation des douleurs de la périhanche gauche. En avril 2013, il faisait état de l’apparition de lombalgies et de la chronicisation des douleurs. En octobre 2013, les Drs T.________ et H.________ ont examiné la recourante au SMR. Dans leur rapport du 25 novembre suivant, ils ont posé les diagnostics de cervicobrachialgies persistantes, de status après une cure de hernie discale C5-C6 par discectomie et mise en place d’une cage intersomatique, de possible périarthrite de la hanche gauche, de lombalgies chroniques et de probable conflit sous-acromilal de l’épaule gauche, avec tendinopathie du sus-épineux. L’examen clinique est décrit comme rassurant et amène l’expert rhumatologue à s’interroger sur l’intensité des douleurs exprimées par l’assurée. L’expert psychiatre n’a pas constaté de trouble psychique selon la CIM-10 ; il a soigneusement expliqué pour quelles raisons il ne retenait pas d’état dépressif, en relevant notamment que la recourante présentait certes une tristesse, mais en relation directe avec les douleurs ressenties, et qui variait en fonction de l’intensité de celles-ci. Les experts ont conclu à une diminution</w:t>
      </w:r>
    </w:p>
    <w:p>
      <w:r>
        <w:t>- 38 - de la capacité de travail de 25 % dans une activité adaptée aux limitations fonctionnelles somatiques (travail sédentaire ou semi sédentaire, dans lequel l’assurée peut alterner les positions debout et assise, sans port de charges supérieures à 5 kg, pas de soulèvement de charges, ni de mouvements au-delà de l’horizontale, pas de travaux penchée en avant ou en porte-à-faux), mais uniquement en raison des douleurs présentées par l’assurée. En définitive, les experts T.________ et H.________ ont conclu à une capacité de travail de 75 % dans une activité adaptée aux limitations fonctionnelles à compter du 1er février 2013, date à laquelle la recourante s’est inscrite à l’assurance-chômage à 50 %. L’assurée ayant subi une nouvelle intervention dans le service de neurochirurgie du A._________ en 2015 et vu la persistance des douleurs annoncées par ses médecins, l’OAI a ordonné une nouvelle expertise bidisciplinaire (rhumatologique et psychiatrique) en 2016, qu’il a confiée aux Drs D.________ et S.________. L’expert psychiatre a conclu à l’absence de trouble psychiatrique invalidant. Quant à l’expert rhumatologue, il a posé les diagnostics, avec influence sur la capacité de travail, de syndrome lombovertébral et cervicobrachial récurrent sans signe radiculaire irritatif ou déficitaire (discopathie et arthrose facettaire postérieure L5-S1 modeste), de status post discectomie L5-S1 pour hernie discale L5-S1 le 30 janvier 2015 et de status post discectomie C6-C6 et mise en place d'une cage le 06 septembre 2012. L’expert rhumatologue a également posé les diagnostics suivants, sans influence sur la capacité de travail, à savoir un syndrome polyinsertionnel douloureux récurrent fibromyalgiforme (diminution du seuil de tolérance à la douleur), des omalgies bilatérales sans signe de conflit ou de tendinopathie ainsi qu’un status post infections urinaires multiples. Les experts ont examiné l’assurée et ont fondé leur appréciation aussi sur le bilan radiologique, qu’ils ont considéré comme rassurant. L’expert rhumatologue a relevé que les diagnostics posés rejoignaient ceux des Drs L.________ et K.________ mais que ceux-ci ne faisaient pas mention de la diminution du seuil de la douleur. Il a considéré que le traitement avait été conduit dans les règles de l’art et a estimé, d’entente avec l’expert psychiatre qui ne retenait aucune diminution de la capacité de travail d’un point de vue</w:t>
      </w:r>
    </w:p>
    <w:p>
      <w:r>
        <w:t>- 39 - psychiatrique vu l’absence de trouble, que, dans une activité adaptée aux limitations fonctionnelles somatiques (avec diminution des mouvements en porte-à-faux, et le port de charge de plus de 5 kg), la capacité de travail exigible était de 100 % dès le 1er janvier 2013, soit trois mois après la première intervention chirurgicale de l’assurée. C’est ainsi qu’en cours d’échange d’écritures, le Dr B.________ a réalisé une expertise privée. Son rapport est daté du 1er février 2018. A titre préliminaire, on observe que lorsque le Dr B.________ écrit « questionnaire de la Cour des assurances sociales », cela ne signifie pas que c’est la Cour de céans qui l’a mandaté pour l’expertise : il s’agit bien d’une expertise privée, réalisée sur mandat de la recourante, respectivement de son conseil. D’emblée, il faut relever que le rapport d’expertise du Dr B.________ contient des appréciations qui ne sont pas du ressort d’un expert médical. Tel est le cas lorsqu’il examine le critère de la cohérence. Il expose que la cohérence est documentée notamment par la concordance des médecins traitants qui, contrairement aux médecins- conseils, n’ont pas une vision limitée par les conditions de leur examen alors que les médecins traitants ont un survol large des pathologies possibles et de leur évolution dans le temps permettant un avis documenté, circonstancié et fiable « n’en déplaise aux jurisprudences affirmant le contraire ». Ce commentaire n’est pas de la compétence d’un expert. La jurisprudence du Tribunal fédéral doit être appliquée que l’on soit d’accord avec elle ou non. D’ailleurs, les examens pratiqués par les médecins-conseils le sont dans les mêmes conditions que ceux effectués par un expert. Dès lors, il n’est pas très cohérent pour un expert d’estimer que l’avis des médecins traitants doit primer et, dans le cas présent, d’expliquer que la recourante n’a pas bénéficié d’un traitement adéquat par les médecins traitants, dont un rhumatologue comme lui, et d’insister en disant que la réponse médicale n’a pas été à la hauteur. De même, l’expert se prononce sur le statut de l’assurée (l’enquête économique sur le ménage retient un statut d’active à 80 % et ménagère à 20 %) en disant</w:t>
      </w:r>
    </w:p>
    <w:p>
      <w:r>
        <w:t>- 40 - que cette répartition est une erreur. Ce n’est évidemment pas à un expert médical de se prononcer sur cette question. A cela s’ajoute que la recourante – qui certes a déclaré à l’enquêtrice qu’elle aurait souhaité travailler un jour à 100 % si un poste s’était libéré - travaillait depuis 2005 au taux de 80 %. Il est douteux qu’en 6 ans, elle n’ait pas eu la possibilité d’augmenter son taux d’activité si elle l’avait réellement voulu. Par ailleurs, lorsque le Dr B.________ fait état d’une « incapacité définitive au sens juridique », on ignore ce qu’il entend par là. Le Dr B.________ expose encore qu’il estime peu important le bilan radiologique aussi bien dans l’évaluation des capacités fonctionnelles que de la réalité de la douleur compte tenu de la primauté de la douleur lombaire. Or, selon la jurisprudence du Tribunal fédéral, les examens radiologiques constituent un moyen pertinent pour établir objectivement une atteinte et résoudre la question de la concordance entre les lésions objectivées et les limitations fonctionnelles alléguées par la recourante (cf. par exemple TF 8C_816/2012 arrêt du 4 septembre 2013, consid. 6) . Par ailleurs, pour justifier l’incapacité totale de travail de la recourante, le Dr B.________ retient que celle-ci souffre d’un déconditionnement global, soit un déconditionnement physique, une kinésiophie et un état anxio-dépressif chronique. Or, ni le déconditionnement ni la kinésiophobie sont considérés comme des maladies au sens de la LAI. Quant à l’état anxio-dépressif, il faut relever que deux expertises réalisées par des psychiatres FMH ont conclu à l’absence de trouble psychiatrique au sens de la CIM-10 et par conséquent à l’absence également de limitations fonctionnelles sur ce plan. A cela s’ajoute que le Dr B.________, qui n’est pas psychiatre et se prononce par conséquent sur un sujet qui n’est pas de son domaine de compétence, fait référence au domaine bio-psycho-social alors que le droit des assurances sociales – en tant qu’il a pour objet la question de l’invalidité – s’en tient à une conception bio-médicale de la maladie, dont sont exclus les facteurs psychosociaux et socioculturels (voir ATF 127 V 294 consid. 5a p. 299 ; TF 9C_286/2015 du 12 janvier 2016). Enfin, quand il évoque un « syndrome</w:t>
      </w:r>
    </w:p>
    <w:p>
      <w:r>
        <w:t>- 41 - de sensibilisation centrale », le Dr B.________ n’explique pas en quoi il serait handicapant. c) En définitive, la Cour de céans considère que l’expertise du Dr B.________ – de surcroît mandaté par la recourante -, n’a pas de valeur probante au sens de la jurisprudence. Il en va autrement de l’expertise des Drs T.________ et H.________ du SMR (rapport du 25 novembre 2013), sur laquelle s’est fondé l’intimé pour rendre la décision contestée. En effet, l’OAI s’est référé aux conclusions de ces experts, motivées et convaincantes, pour retenir que la recourante dispose, depuis le 1er février 2013, d’une capacité de travail de 75 % dans une activité adaptée aux limitations fonctionnelles qu’ils ont retenues. En l’absence de trouble psychiatrique, ces experts se sont dits interpellés par la divergence entre l’examen clinique, qu’ils ont qualifié de rassurant, et les plaintes intenses qu’a exprimées la recourante. A noter que les experts D.________ et S.________ (rapports des 27 juin et 4 juillet 2016) ont également relevé ce point. Si les diagnostics, les limitations fonctionnelles associées et la capacité de travail exigible divergent légèrement entre les deux rapports d’expertise, il n’en demeure pas moins que les appréciations des experts se superposent largement, notamment en ce qui concerne le point central, à savoir la divergence entre leurs constats (examens cliniques et radiologiques) et l’intensité des douleurs exprimées par la recourante. On relèvera en outre que l’intimé s’est finalement fondé sur l’expertise la plus favorable à la recourante en ce qui concerne la capacité de travail exigible, étant précisé que le domaine des activités légères retenues par l’intimé pour déterminer le revenu avec invalidité tient compte des limitations fonctionnelles plus importantes retenues par les experts du SMR. La décision ne prête par conséquent pas le flanc à la critique sur ce point. Pour le surplus, on observe que les diagnostics retenus par les experts T.________ et H.________ ont été posés conformément aux règles de l’art. Plus particulièrement, l’analyse d’un point de vue psychiatrique, qui aboutit à l’absence d’un trouble, répond aux exigences de la jurisprudence du Tribunal fédéral en la matière (cf. ATF 141 V 281 consid. 2) quand bien même l’expertise date de 2013 alors que la nouvelle jurisprudence date de 2015. L’appréciation psychiatrique émane d’un</w:t>
      </w:r>
    </w:p>
    <w:p>
      <w:r>
        <w:t>- 42 - spécialiste en psychiatrie et s’appuie sur les critères d’un système de classification reconnu (CIM ou ICD-10). Les experts montrent qu’ils ont tenu compte de l’ensemble du dossier médical, notamment des avis du Dr L.________, rhumatologue de la recourante, et du Dr K.________, précédent expert rhumatologue, tout en expliquant pourquoi leur appréciation diverge de celle du rhumatologue traitant, en ce sens que le Dr L.________ s’est fondé sur les douleurs exprimées par sa patiente pour considérer que la capacité de travail de celle-ci était moindre, voire nulle, même dans une activité adaptée ; les anamnèses sont détaillées par chacun des experts et la recourante a pu exprimer ses plaintes lors des différents entretiens. Les diagnostics sont motivés et leur impact sur la capacité de travail de la recourante est argumenté. Les limitations fonctionnelles, les périodes d’incapacité de travail et la capacité de travail exigible sont également soigneusement exposés par chacun des experts. Enfin, les conclusions finales résultent d’une discussion consensuelle entre les deux experts. Au vu de l’ensemble des éléments exposés ci-dessus, il y a lieu de considérer que l’expertise du 25 novembre 2013 du SMR a pleine valeur probante. Ceci étant, l’intimé était justifié à se fonder sur ses conclusions pour retenir que la recourante dispose d’une capacité de travail de 75 % dans une activité adaptée à ses limitations fonctionnelles depuis le 1er février 2015 et à procéder au calcul du degré d’invalidité tel qu’il l’a fait – calcul non critiqué par la recourante, à juste titre – et, au vu du degré d’invalidité de 6 % en résultant, de nier le droit de la recourante à une rente d’invalidité trois mois après l’amélioration de son état de santé (art. 88a al. 1 RAI).</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w:t>
      </w:r>
    </w:p>
    <w:p>
      <w:r>
        <w:t>- 43 - procéder ne viole pas le droit d'être entendu selon l'art. 29 al. 2 Cst.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la recourante, à savoir d’ordonner une expertise judiciaire. En effet, une telle mesure ne serait pas de nature à modifier les considérations qui précèdent, les faits pertinents ayant pu être constatés à satisfaction de droit. La requête de la recourante en ce sens doit ainsi être rejetée.</w:t>
      </w:r>
    </w:p>
    <w:p>
      <w:r>
        <w:rPr>
          <w:b/>
        </w:rPr>
        <w:t>E. 9</w:t>
      </w:r>
    </w:p>
    <w:p>
      <w:r>
        <w:t>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ils doivent être fixés à 400 fr. et mis à la charge de la recourante, qui succombe. N’obtenant pas gain de cause, la recourante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