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ZD17.039902 vom 1. November 2018</w:t>
      </w:r>
    </w:p>
    <w:p>
      <w:r>
        <w:t>VD Tribunal cantonal, 2018-11-01, FR</w:t>
      </w:r>
    </w:p>
    <w:p>
      <w:r>
        <w:rPr>
          <w:b/>
        </w:rPr>
        <w:t xml:space="preserve">Quelle: </w:t>
      </w:r>
      <w:r>
        <w:t>https://mcp.opencaselaw.ch/entscheid/vd_gerichte_ZD17.039902</w:t>
      </w:r>
    </w:p>
    <w:p>
      <w:r>
        <w:t>FR: VD_GERICHTE ZD17.039902 du 1 novembre 2018</w:t>
      </w:r>
    </w:p>
    <w:p>
      <w:r>
        <w:t>IT: VD_GERICHTE ZD17.039902 del 1 novembre 2018</w:t>
      </w:r>
    </w:p>
    <w:p>
      <w:pPr>
        <w:pStyle w:val="Heading2"/>
      </w:pPr>
      <w:r>
        <w:t>Erwägungen</w:t>
      </w:r>
    </w:p>
    <w:p>
      <w:r>
        <w:rPr>
          <w:b/>
        </w:rPr>
        <w:t>E. 4</w:t>
      </w:r>
    </w:p>
    <w:p>
      <w:r>
        <w:t>En l’espèce, l’intimé a retenu que la recourante avait présenté une incapacité de travail et de gains totale dans toutes activités lucratives du 28 avril 2014 au 11 avril 2016, date à laquelle elle ne présentait plus de préjudice économique du fait qu’elle était à même de reprendre son activité habituelle à 75 %. Il a en outre considéré la recourante comme une personne active à 75 % et ménagère à 25 %, ce qui n’est pas contesté. Les conclusions de l’expertise bidisciplinaire ne sont pas remises en cause au stade du recours en tant qu’elles concernent l’aspect somatique. Il n’existe d’ailleurs aucun élément dans les nombreux rapports de spécialistes au dossier laissant à penser que la recourante souffrirait d’autre ou de plus ample affection. Sur les plans psychique et psychosomatique en revanche, la recourante se prévaut des rapports de son psychiatre traitant, lequel a posé les diagnostics de trouble dépressif sévère (F32.2), type mélancolique, sur deuil prolongé, et de trouble somatoforme douloureux (F45.1). Suivant le Dr D.________, une reprise de travail, même à taux réduit ou dans une activité adaptée, n’est pas envisageable en raison d’une incapacité à assumer des tâches domestiques simples comme les repas ou le ménage. A l’inverse, le volet psychiatrique de l’expertise mise en œuvre dans le cadre de la procédure administrative n’a retenu aucun</w:t>
      </w:r>
    </w:p>
    <w:p>
      <w:r>
        <w:t>- 19 - diagnostic ayant une incidence sur la capacité de travail. Conséquemment, le Dr L.________ n’a pas décrit de limitations fonctionnelles aux niveaux psychique et psychosomatique.</w:t>
      </w:r>
    </w:p>
    <w:p>
      <w:r>
        <w:rPr>
          <w:b/>
        </w:rPr>
        <w:t>E. 5</w:t>
      </w:r>
    </w:p>
    <w:p>
      <w:r>
        <w:t>a) Les atteintes à la santé psychique peuvent, comme les atteintes physiques, entraîner une invalidité au sens de l’art. 4 al. 1 LAI en lien avec l’art. 8 LPGA. En 2015, le Tribunal fédéral a modifié sa pratique en matière d’évaluation du droit à une rente de l’assurance-invalidité en cas de troubles somatoformes douloureux et d’affections psychosomatiques assimilées (ATF 141 V 281 consid. 4.2 et la jurisprudence citée).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Le Tribunal fédéral a récemment étendu l’application de la procédure d’examen structurée d’administration des preuves à l’ensemble des maladies psychiatriques, en particulier aux dépressions légères à moyennes (ATF 143 V 418 et 143 V 409). Le caractère invalidant d’atteintes à la santé psychique doit désormais être établi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TF 9C_142/2018 du 24 avril 2018 consid. 5.2), précisant que le fait qu’une atteinte à la santé psychique puisse être influencée par un traitement ne suffit pas, à lui seul, pour nier le caractère invalidant de celle-ci (ATF 143 V 409 consid. 4.2). b) La preuve d’un trouble somatoforme douloureux, et donc de tout trouble psychique, suppose en premier lieu que l’atteinte soit diagnostiquée par l’expert selon les règles de l’art, en tenant compte en particulier du critère de gravité inhérent à ce diagnostic et en faisant référence aux limitations fonctionnelles constatées.</w:t>
      </w:r>
    </w:p>
    <w:p>
      <w:r>
        <w:t>- 20 -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(ATF 141 V 281 consid. 4.4). Cela ne vaut toutefois qu’aussi longtemps que le comportement en question n’est pas influencé par la procédure en matière d’assurance en cours. On ne peut pas conclure à l’absence de</w:t>
      </w:r>
    </w:p>
    <w:p>
      <w:r>
        <w:t>- 21 -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c) aa) En l’espèce, l’expert psychiatre n’a retenu aucun diagnostic avec influence sur la capacité de travail, posant les diagnostics d’autres troubles spécifiques de la personnalité (F60.8) (traits histrioniques et traits narcissiques), de trouble dissociatif (F44) et d’épisode dépressif actuellement léger avec syndrome somatique (F32.01). Il a exposé que les symptômes étaient apparus après le décès accidentel du frère de la recourante environ deux ans auparavant et auquel elle était très attachée, relevant un deuil difficile à replacer dans un contexte social difficile. En effet, l’intéressée, qui avait fait des études universitaires dans son pays et travaillé comme enseignante, s’est retrouvée à son arrivée en Suisse à devoir travailler dans les nettoyages. De l’avis du Dr L.________, ces circonstances avaient certainement provoqué une blessure narcissique que la recourante n’avait pas pu combler (rapport L.________ p. 16-17). Pour le Dr L.________, il n’y a pas lieu de retenir l’épisode dépressif sévère de caractère mélancoliforme soutenu par le Dr D.________, du fait qu’il manque notamment dans le tableau clinique l’affect dépressif sévère et les idées suicidaires (rapport L.________ p. 16- 17 ; cf. aussi avis SMR du 1er mai 2015). Dans son anamnèse et lors de l’examen clinique, l’expert-psychiatre n’a pas identifié de tentative de suicides, d’idées noires ou d’hospitalisation en milieu psychiatrique, étant rappelé que le psychiatre traitant avait indiqué au SMR que sa patiente avait refusé une proposition d’hospitalisation et que le sujet serait réabordé au terme d’un séjour au J.________ en famille (rapport du</w:t>
      </w:r>
    </w:p>
    <w:p>
      <w:r>
        <w:t>- 22 - Dr D.________ du 17 avril 2015), ce qui n’a pas été le cas. A l’examen, la tristesse a été jugée fluctuante et l’humeur qualifiée de légèrement dépressive avec un sentiment de dévalorisation et de découragement. Toutefois, aucun signe ou de symptôme indiquant un ralentissement psychomoteur n’est apparu. Il n’y a pas de troubles cognitifs ; ce qui ressort de l’entretien clinique, c’est l’attitude régressive, plus que dépressive, et démonstrative de la recourante. L’expert n’a pas davantage identifié de sentiments d’infériorité, d’inutilité ou de ruine ni d’idées noires ou d’envies suicidaires (rapport L.________ p. 12). Pour l’expert psychiatre, le sommeil est perturbé à cause des douleurs (ibid.) ce qui est attesté par l’expert rhumatologue (rapport N.________, p. 4). Il ne retient pas davantage le caractère mélancoliforme de l’épisode dépressif, mais plutôt des difficultés de l’intéressée à faire une élaboration du deuil de son frère auquel elle était très attachée et qui représentait certainement la réussite sociale qu’elle n’avait pas pu obtenir. De surcroît, la recourante ne peut pas se prévaloir d’une médication alléguée « difficilement compatible avec un état dépressif léger » dès lors que les résultats de l’analyse en laboratoire montrent qu’elle ne prend pas tous les médicaments prescrits (rapport L.________ p. 17). Sous l’angle du trouble somatoforme douloureux, le Dr L.________ a observé que la recourante présentait un côté très démonstratif concernant ses douleurs, dans une attitude très hystériforme avec une exagération des symptômes, motif pour lequel il n’a pas retenu ce diagnostic, bien qu’elle décrive des douleurs un peu partout, vécues comme étant très handicapantes. Cette attitude a aussi été attestée par le psychiatre traitant, celui-ci déclarant dans son rapport du 26 août 2015 qu’il avait observé que la recourante se suspendait au bras de son mari de façon très démonstrative, comme si elle allait tomber et que, croisée en ville par hasard, elle se déplaçait sans aide, suivant sa belle-fille dans un magasin. Ce comportement évoquait pour le Dr D.________ un trouble de la conversion en l’absence d’explication organique claire et en présence de bénéfices secondaires pour l’intéressée. De plus et contrairement à ce que soutient la recourante, l’expert rhumatologue a aussi constaté une exagération, relevant une « importante divergence » entre les symptômes</w:t>
      </w:r>
    </w:p>
    <w:p>
      <w:r>
        <w:t>- 23 - décrits, l’examen clinique et le comportement de l’expertisée (rapport N.________, p. 14). Les diagnostics établis par le Dr L.________ emportent la conviction de la Cour de céans. bb) Sous l’angle de la cohérence, l’expert psychiatre a constaté que la recourante avait un caractère hystériforme, objectivé pendant l’entretien. Elle présentait beaucoup de bénéfices secondaires par son attitude, son mari et ses enfants s’occupant beaucoup d’elle. Pour le surplus, il a observé que, suivant les analyses du laboratoire, l’intéressée ne prenait pas une partie de la médication prescrite par le Dr D.________. Selon l’anamnèse établie par le Dr Ventura et contrairement à ce que décrit le psychiatre traitant, l’arrêt des études avait pour cause le mariage de la recourante et son départ en Suisse et non la guerre. L’incapacité à faire le ménage et l’absence d’activité sociale ne sont pas objectivées et sont contredites par les facultés de la recourante de faire des promenades, d’être en famille et de voyager au J.________ (rapport L.________ p. 17). Sous l’angle de la mobilité, les rapports des médecins traitants de l’expertisée apparaissent aussi emprunts de contradictions, le Dr W.________, indiquant au SMR dans un rapport du 27 août 2015 que sa patiente ne présentait pas de limitation de la mobilité alors que dans son rapport du 28 août 2015, le Dr D.________ exposait que des limitations des mouvements, en particulier de la marche, persistaient. Le Dr L.________ a établi son rapport en pleine connaissance de l’anamnèse et a pris en considération les plaintes de la recourante. En outre, l’expertise remplit les conditions posées par la nouvelle jurisprudence du Tribunal fédéral concernant les maladies psychiatriques (cf. consid. 5a-b supra), les ressources de l’assurée et la cohérence ayant été examinées de manière soignée. Enfin, l’appréciation est claire et les conclusions bien motivées. L’expertise dispose ainsi d’une pleine valeur probante.</w:t>
      </w:r>
    </w:p>
    <w:p>
      <w:r>
        <w:t>- 24 - Si les conclusions de l’expert psychiatre sont remises en cause par les rapports du psychiatre traitant de la recourante, il apparaît évident que la relation thérapeutique et le rapport de confiance qui lient l’intéressée au Dr D.________ a placé ce dernier dans une situation délicate. En effet, l’on se trouve en présence de comportements incohérents sur le plan somatique, d’amplification des symptômes, d’un manque de collaboration dans l’examen de ses ressources, psychique et psychosomatique relevé par les deux experts (rapport N.________, p. 14 ; rapport L.________ p. 17) et même par le propre psychiatre traitant de la recourante lorsqu’il a pu observer par hasard sa patiente en ville (rapport du Dr D.________ du 26 août 2015). On constate aussi que la médication prescrite par ce dernier n’est pas mise à profit, étant précisé que l’expert psychiatre n’a pas d’option thérapeutique à proposer (rapport L.________ p. 18). Dans ces circonstances, l’avis du Dr D.________ ne permet pas de mettre en doute et d’écarter les conclusions du Dr L.________. L’expertise mise en œuvre par l’OAI emporte la conviction de la Cour de céans. Ainsi, il convient de se rallier aux conclusions des experts quant à la pleine capacité de travail de la recourante sur les plans psychique et psychosomatique. On en conclut que la capacité de travail dans l’activité habituelle antérieure d’aide-concierge est de 70-80 %. Dans une activité adaptée, elle est de 100 %, sans diminution de rendement, moyennant de limiter les mouvements répétitifs de la nuque en flexion- extension et d’éviter les ports de charges à répétition de plus de 10-15 kg. cc) Dès lors que Z.________ est capable de travailler à 70-80 % dès le 12 avril 2016, date de l’entretien avec l’expert psychiatre (rapports L.________, p. 22 et N.________, pp. 15-16), c’est à juste titre que l’OAI a arrêté sa capacité de travail dans son activité habituelle d’aide-concierge à 75 %, taux d’activité qu’elle exerçait avant son atteinte à la santé, et le terme de ses prestations au 31 juillet 2016, soit trois mois après la date à partir de laquelle elle a recouvré une capacité de travail suffisante.</w:t>
      </w:r>
    </w:p>
    <w:p>
      <w:r>
        <w:t>- 25 - En ce qui concerne l’incapacité de travail totale alléguée par l’assurée, ce moyen doit être rejeté.</w:t>
      </w:r>
    </w:p>
    <w:p>
      <w:r>
        <w:rPr>
          <w:b/>
        </w:rPr>
        <w:t>E. 6</w:t>
      </w:r>
    </w:p>
    <w:p>
      <w:r>
        <w:t>Dans un second moyen, la recourante fait grief à l’intimé de ne pas avoir pris en considération son âge de 62 ans au moment de l’expertise pluridisciplinaire, soutenant que sa capacité de travail réellement exigible est nulle. a) La jurisprudence a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 _612/2007 du 14 juillet 2008 consid. 5.2).</w:t>
      </w:r>
    </w:p>
    <w:p>
      <w:r>
        <w:t>- 26 - Cette jurisprudence est toutefois applicable lorsque l’administration doit statuer sur le droit aux prestations ensuite d’une première demande et qu’il s’agit de déterminer si un assuré qui doit changer d’emploi en raison d’atteintes à la santé peut encore mettre en valeur sa capacité résiduelle de gain, dans une nouvelle activité professionnelle, sur un marché de l’emploi réputé équilibré (TF 9C_899/2015 du 4 mars 2016 consid. 4.3.2 s. et les références). b) En l’espèce, comme mentionné ci-dessus (consid. 5c supra), la recourante est apte à travailler à 75 % dans son activité habituelle d’aide-concierge, ce qui correspond au taux qu’elle exerçait avant la période d’invalidité. La question de l’exigibilité d’une reconversion professionnelle dans une activité adaptée ne se pose donc pas, l’intéressée pouvant faire valoir des compétences et une expérience qui devraient faciliter son engagement dans son activité habituelle dans un marché du travail équilibré, et cela malgré son âge. Ce moyen doit aussi être rejeté.</w:t>
      </w:r>
    </w:p>
    <w:p>
      <w:r>
        <w:rPr>
          <w:b/>
        </w:rPr>
        <w:t>E. 7</w:t>
      </w:r>
    </w:p>
    <w:p>
      <w:r>
        <w:t>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la recourante qui succombe. Il n’y a par ailleurs pas lieu d’allouer de dépens, la recourante n’obtenant pas gain de cause (art. 61 let. g LPGA).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