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ZD17.036907 vom 12. März 2018</w:t>
      </w:r>
    </w:p>
    <w:p>
      <w:r>
        <w:t>VD Tribunal cantonal, 2018-03-12, FR</w:t>
      </w:r>
    </w:p>
    <w:p>
      <w:r>
        <w:rPr>
          <w:b/>
        </w:rPr>
        <w:t xml:space="preserve">Quelle: </w:t>
      </w:r>
      <w:r>
        <w:t>https://mcp.opencaselaw.ch/entscheid/vd_gerichte_ZD17.036907</w:t>
      </w:r>
    </w:p>
    <w:p>
      <w:r>
        <w:t>FR: VD_GERICHTE ZD17.036907 du 12 mars 2018</w:t>
      </w:r>
    </w:p>
    <w:p>
      <w:r>
        <w:t>IT: VD_GERICHTE ZD17.036907 del 12 marzo 2018</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w:t>
      </w:r>
    </w:p>
    <w:p>
      <w:r>
        <w:t>- 14 -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w:t>
      </w:r>
    </w:p>
    <w:p>
      <w:r>
        <w:t>- 15 - c)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134 V 231 consid. 5.1 et 125 V 351 consid. 3).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4</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comme en l’espèce,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w:t>
      </w:r>
    </w:p>
    <w:p>
      <w:r>
        <w:t>- 16 - circonstances propres à influencer le degré d'invalidité, et donc le droit à la rente, s'est produit (ATF 133 V 108 consid. 5, 130 V 343 consid. 3.5.2 et 125 V 368 consid. 2 et la référence citée ; TF 9C_399/2015 du 11 février 2016 consid. 2, 8C_562/2014 du 29 septembre 2015 consid. 3 et 9C_431/2009 du 3 novembre 2009 consid. 2.1).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Une appréciation différente d'une situation demeurée inchangée pour l'essentiel ne constitue pas un motif de révision (TFA I 491/03 du 20 novembre 2003 consid. 2.2 in fine et les références citées). L’assurance-invalidité connaissant un système de rentes échelonnées, la révision se justifie lorsque le degré d’invalidité franchit un taux déterminant (ATF 133 V 545 consid. 6.2 à 7).</w:t>
      </w:r>
    </w:p>
    <w:p>
      <w:r>
        <w:rPr>
          <w:b/>
        </w:rPr>
        <w:t>E. 5</w:t>
      </w:r>
    </w:p>
    <w:p>
      <w:r>
        <w:t>à 10 kg de manière répétitive, de monter sur une échelle/escaliers, d’effectuer des mouvements de torsion/de flexion répétés. Il a ajouté que la résistance de l’assuré était limitée s’agissant d’un travail répétitif. Il y a lieu de se rallier aux conclusions du Dr Q.________, selon lesquelles le recourant dispose d’une entière capacité de travail dans une activité adaptée. En effet, ce spécialiste a rendu son rapport après avoir sollicité de nombreux examens complémentaires, notamment sous forme d’IRM de la colonne lombaire, thoracique, et des articulations sacro- iliaques (cf. rapports des 10 et 30 juin, ainsi que du 30 septembre 2016 de la Dresse W.________). Il a en outre procédé à un examen complet de l’assuré, qu’il a vu à plusieurs reprises à partir du mois d’avril 2013, en particulier dans le premier semestre de 2016, et une dernière fois le</w:t>
      </w:r>
    </w:p>
    <w:p>
      <w:r>
        <w:rPr>
          <w:b/>
        </w:rPr>
        <w:t>E. 7</w:t>
      </w:r>
    </w:p>
    <w:p>
      <w:r>
        <w:t>Le recourant critique encore le taux d’abattement de 10 % retenu par l’intimé sur le revenu d’invalide en raison des limitations fonctionnelles. Il déplore que celui-ci ne tienne pas compte d’autres aspects, tels que son âge et sa nationalité étrangère, et estime qu’il est insuffisant. a) Lorsque, comme en l'espèce, le revenu d'invalide a été calculé sur la base des salaires statistiques, le recourant étant sans activité lucrative,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w:t>
      </w:r>
    </w:p>
    <w:p>
      <w:r>
        <w:t>- 24 -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137 V 71 et 126 V 75). b) En l’occurrence, selon le calcul effectué par le Service de réadaptation de l’OAI (cf. fiche REA – Calcul du salaire exigible du 22 mai 2017), tant les limitations fonctionnelles que l’âge de l’assuré, soit 55 ans, ont été pris en compte pour fixer le taux d’abattement de 10 %. En outre, le recourant étant suisse, il n’a à juste titre pas été tenu compte du fait qu’il serait de nationalité étrangère. Il en va de même de la prise en considération d’un emploi à temps partiel, étant donné que l’intéressé présente une capacité totale de travail lui permettant d’exercer une activité adaptée à un taux de 100 %. Les limitations fonctionnelles de l’assuré n’ont certes pas toutes été énumérées par l’OAI dans la décision litigieuse, mais même dans l’éventualité où un abattement de 15 % était opéré sur le revenu sans invalidité, le degré d’invalidité ainsi retenu, soit 15 %, serait toujours insuffisant pour ouvrir le droit à des mesures professionnelles et à une rente. Cette dernière présuppose en effet un taux d’invalidité de 40 % (cf. art. 28 al. 2 LAI ; consid. 3a supra).</w:t>
      </w:r>
    </w:p>
    <w:p>
      <w:r>
        <w:rPr>
          <w:b/>
        </w:rPr>
        <w:t>E. 8</w:t>
      </w:r>
    </w:p>
    <w:p>
      <w:r>
        <w:t>Le dossier est complet et permet à la Cour de céans de statuer en pleine connaissance de cause. Il n'y a dès lors pas lieu de compléter l'instruction comme le requiert le recourant par la mise en œuvre d’une expertise judiciaire. En effet, une telle mesure d’instruction ne serait pas de nature à modifier les considérations qui précèdent puisque les faits pertinents ont pu être constatés à satisfaction de droit (appréciation anticipée des preuves ; ATF 130 II 425 consid. 2.1 et 122 II 464 consid. 4a ; TF 9C_748/2013 du 10 février 2014 consid. 4.2.1 et 8C_361/2009 du 3 mars 2010 consid. 3.2).</w:t>
      </w:r>
    </w:p>
    <w:p>
      <w:r>
        <w:rPr>
          <w:b/>
        </w:rPr>
        <w:t>E. 9</w:t>
      </w:r>
    </w:p>
    <w:p>
      <w:r>
        <w:t>a) En définitive, le recours, mal fondé, doit être rejeté et la décision attaquée confirmée.</w:t>
      </w:r>
    </w:p>
    <w:p>
      <w:r>
        <w:t>- 25 -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