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ZD17.031007 vom 20. Dezember 2018</w:t>
      </w:r>
    </w:p>
    <w:p>
      <w:r>
        <w:t>VD Tribunal cantonal, 2018-12-20, FR</w:t>
      </w:r>
    </w:p>
    <w:p>
      <w:r>
        <w:rPr>
          <w:b/>
        </w:rPr>
        <w:t xml:space="preserve">Quelle: </w:t>
      </w:r>
      <w:r>
        <w:t>https://mcp.opencaselaw.ch/entscheid/vd_gerichte_ZD17.031007</w:t>
      </w:r>
    </w:p>
    <w:p>
      <w:r>
        <w:t>FR: VD_GERICHTE ZD17.031007 du 20 décembre 2018</w:t>
      </w:r>
    </w:p>
    <w:p>
      <w:r>
        <w:t>IT: VD_GERICHTE ZD17.031007 del 20 dicembre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ss LPGA). Le recours doit être déposé dans les trente jours suivant la notification de la décision sujette à recours (art. 60 al. 1 LPGA).</w:t>
      </w:r>
    </w:p>
    <w:p>
      <w:r>
        <w:t>- 11 -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Le litige tient, dans le cadre d’une demande de révision formée par l’assuré à la suite de la décision de suppression de rente du 30 janvier 2008, au refus de l’office AI d’allouer ses prestations en se fondant sur une double expertise rhumatologique (Dr Q.________) et psychiatrique (Dr N.________), réputées probantes, excluant toute atteinte à la santé invalidante dans le cadre d’une activité adaptée à laquelle l’assuré pourrait être renvoyé.</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(art. 6 LPGA). b) Lorsque, comme en l'espèce, l'administration est entrée en matière sur une nouvelle demande (ATF 109 V 108 consid. 2b ; TF 9C_435/2013 du 27 septembre 2013 consid. 5.1),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w:t>
      </w:r>
    </w:p>
    <w:p>
      <w:r>
        <w:t>- 12 - droit, et la décision litigieuse, un changement important des circonstances propres à influencer le degré d'invalidité, et donc le droit à la rente, s'est produit (ATF 133 V 108 ; 130 V 71 consid. 3.2). c) Aux termes de l’art. 17 al. 1 LPGA, lorsque le taux d’invalidité du bénéficiaire du droit à la rente subit une modification notable, la rente est, d’office ou sur demande, révisée pour l’avenir, à savoir augmentée ou réduite en conséquence, ou encore supprimée.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 voir également ATF 112 V 371 consid. 2b et ATF 112 V 387 consid. 1b). Une appréciation différente d'une situation demeurée inchangée pour l'essentiel ne constitue pas un motif de révision (ATF 141 V 9 consid. 2.3 ; TF 8C_339/2017 du 1er février 2018 consid. 3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w:t>
      </w:r>
    </w:p>
    <w:p>
      <w:r>
        <w:t>- 13 - consid. 4 ; 115 V 133 consid. 2 ; TF 9C_107/2017 du 8 septembre 2017 consid. 5.1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f)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w:t>
      </w:r>
    </w:p>
    <w:p>
      <w:r>
        <w:t>- 14 -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w:t>
      </w:r>
    </w:p>
    <w:p>
      <w:r>
        <w:rPr>
          <w:b/>
        </w:rPr>
        <w:t>E. 4</w:t>
      </w:r>
    </w:p>
    <w:p>
      <w:r>
        <w:t>En l’espèce, l’intimé est entré en matière sur la deuxième demande de prestations de l’assuré du 4 décembre 2014 et a procédé à l’instruction du cas. Il convient dès lors d’examiner si, entre la dernière décision de suppression de prestations entrée en force – soit la décision du 30 janvier 2008 – et la décision litigieuse du 12 juin 2017, l’état de santé du recourant s’est modifié de façon à influencer son droit aux prestations de l’assurance-invalidité. On rappellera que la décision du 30 janvier 2008 a été rendue au terme d’une procédure de révision d’office engagée en juillet 2003. Elle se fondait pour l’essentiel sur les conclusions des Drs X.________ et D.________, une pleine capacité de travail ayant été retenue dans une activité adaptée. Dans le cadre de sa deuxième demande, le recourant a fait valoir une aggravation de son état de santé tant sur le plan somatique que psychique, soutenant que son incapacité de travail était entière (cf. rapport médical du Dr L.________ du 19 décembre 2014).</w:t>
      </w:r>
    </w:p>
    <w:p>
      <w:r>
        <w:rPr>
          <w:b/>
        </w:rPr>
        <w:t>E. 5</w:t>
      </w:r>
    </w:p>
    <w:p>
      <w:r>
        <w:t>Sur le plan formel, le recourant fait valoir un double grief. a) En premier lieu, il critique les modalités ayant présidé au choix des experts Q.________ et N.________. aa) Le 29 novembre 2016, l’office AI a informé le précédent conseil du recourant de son intention de mandater les Drs Q.________ et N.________ aux fins de procéder à une expertise médicale rhumatologique et psychiatrique, lui impartissant un délai au 13 décembre 2016 pour formuler « des objections fondées portant sur le genre de l’expertise, la</w:t>
      </w:r>
    </w:p>
    <w:p>
      <w:r>
        <w:t>- 15 - spécialité prévue, de même que le nom de l’expert ». Il était précisé que, sauf contreproposition, le mandat définitif serait attribué aux experts désignés. bb) Par pli du 6 décembre 2016, le précédent conseil du recourant a uniquement demandé que des questions supplémentaires soient posées aux experts proposés par l’intimé, sans remettre en question les personnes et spécialités envisagés. Dans ces conditions, c’est en vain que le recourant se plaint devant le Tribunal cantonal d’une désignation discrétionnaire et unilatérale. Faute d’avoir émis en temps utile une quelconque critique à l’endroit des médecins auxquels l’office AI se proposait d’attribuer le mandat d’expertise projeté, il ne saurait être suivi lorsqu’il laisse entendre que le choix de l’intimé aurait été dicté par le caractère notoirement rigoureux des appréciations des experts prénommés. b) En second lieu, il se plaint d’irrégularités ayant entaché la notification de la décision entreprise. Outre que l’on ne voit pas en quoi une notification en courrier prioritaire (A) contreviendrait à la réglementation applicable (cf. art. 44 LPA-VD), le fait que le délai de recours expire de ce fait la veille des féries ne saurait entraîner de préjudice pour le recourant.</w:t>
      </w:r>
    </w:p>
    <w:p>
      <w:r>
        <w:rPr>
          <w:b/>
        </w:rPr>
        <w:t>E. 6</w:t>
      </w:r>
    </w:p>
    <w:p>
      <w:r>
        <w:t>La décision entreprise se fonde – dans le cadre de l’examen au long cours d’un cas complexe sur le plan médical, ayant donné lieu à des appréciations divergentes – sur les deux dernières expertises mises en œuvre sur le plan somatique d’une part (Dr Q.________) et psychiatrique d’autre part (Dr N.________) durant les mois qui ont précédé la décision litigieuse, expertises auxquelles l’intimé prête la force probante de départager les avis médicaux divergents qui constituent le dossier. a) Au plan somatique, l’intimé a complété l’instruction pas la mise en œuvre d’une expertise rhumatologique, qui a été réalisée par le Dr Q.________.</w:t>
      </w:r>
    </w:p>
    <w:p>
      <w:r>
        <w:t>- 16 - aa) Dans son rapport du 15 mars 2017, ce spécialiste a posé le diagnostic – avec répercussion sur la capacité de travail – de syndrome lombovertébral récurrent chronique sans signe radiculaire irritatif ou déficitaire sans signe de discopathie (minime discopathie L4-L5 et anomalie transitionnelle L5-S1). Après avoir relevé que les lombalgies présentées depuis 1995 étaient devenues chroniques, l’expert a constaté, outre une cristallisation de la symptomatologie, l’apparition de douleurs polyinsertionnelles multiples faisant état d’une nette diminution du seuil de déclenchement de la douleur avec probablement en parallèle un déconditionnement de la musculature profonde entraînant une probable instabilité. Cependant, la trophicité musculaire était conservée et il n’y avait pas de signe parlant en faveur d’une atteinte inflammatoire ou systémique. Aucun trouble sensitivomoteur n’a été mis en évidence. Le Dr Q.________ a souligné que son appréciation rejoignait celle des Drs X.________ et F.________, datées respectivement de 2005 et 2013, lesquels posaient les mêmes diagnostics. Cela étant, contrairement au Prof. F.________, le Dr Q.________ estimait que la symptomatologie douloureuse ne pouvait être exprimée uniquement à l’aune des processus herniaires, dans la mesure où il n’y avait pas de signe parlant en faveur d’une atteinte irritative ou déficitaire. Quant aux infiltrations effectuées par le Prof. F.________, elles n’avaient apporté aucune amélioration de la symptomatologie douloureuse en raison du caractère chronique des lombalgies présentées. bb) S’agissant de la capacité de travail, le Dr Q.________ a considéré qu’elle était de 50% dans l’activité de maçon compte tenu des lésions lombaires. En revanche, dans une profession adaptée avec diminution des mouvements en porte-à-faux et excluant le port de charges supérieures à 10 kg, l’exigibilité était totale. Il convenait toutefois de tenir compte d’une diminution de rendement de 10%, en raison de la longue période d’inactivité professionnelle. cc) Aucune pièce médicale au dossier ne justifie de s’écarter des conclusions circonstanciées figurant dans le rapport médical établi par</w:t>
      </w:r>
    </w:p>
    <w:p>
      <w:r>
        <w:t>- 17 - le Dr Q.________ le 15 mars 2017, lequel remplit les réquisits jurisprudentiels pour se voir conférer pleine valeur probante. Fruit d’une analyse approfondie du cas, il fait état des plaintes exprimées par le recourant, comporte une anamnèse détaillée et décrit le contexte déterminant. Reposant sur des investigations complètes, il contient une appréciation claire de la situation et aboutit à des conclusions médicales soigneusement motivées et exemptes de contradictions, qui rejoignent par ailleurs celles retenues par le Dr X.________ dans son rapport du 15 avril 2005. On relèvera dans ce contexte que, le recourant présentant pour l’essentiel des atteintes affectant le rachis lombaire, il importe peu, contrairement à ce qu’il prétend, que l’expertise ait été réalisée par un médecin spécialiste en rhumatologie plutôt que par un médecin orthopédiste, dès lors que ces spécialités s’intéressent toutes deux au diagnostic et au traitement des maladies de l’appareil locomoteur (TF 9C_474/2017 du 4 octobre 2017 consid. 4.2 et la référence). Au surplus, le Dr Q.________ – pas plus que le Dr N.________ – n’a fait état de difficultés de communication imputables à la perte auditive affectant le recourant. b) La difficulté de la cause tient à la nature des atteintes sur le plan psychique, soit au diagnostic et à l’hypothétique caractère invalidant des troubles observés. aa) Dans son rapport du 12 avril 2017, le Dr N.________ a posé pour seul diagnostic – sans répercussion sur la capacité de travail – celui de névrose de compensation, motivée par l’attitude revendicatrice du recourant à l’égard de l’assurance-invalidité, à laquelle s’associait une position de victimisation en vue d’obtenir une rente. L’expert a expliqué qu’il s’agissait de symptômes physiques compatibles avec – et initialement dus à – un trouble, une maladie ou un handicap physique mais amplifiés ou entretenus par l’état psychique du patient. Ce dernier adoptait une attitude histrionique (recherche de l’attention d’autrui) comprenant parfois aussi des plaintes surajoutées (habituellement non spécifiques) sans substrat somatique. Il réagissait habituellement par un sentiment de détresse à la douleur ou au handicap provoqué par son affection physique, tout en redoutant, parfois à juste titre, une persistance</w:t>
      </w:r>
    </w:p>
    <w:p>
      <w:r>
        <w:t>- 18 - ou une aggravation de son handicap ou de la douleur. En l’occurrence, l’insatisfaction relative aux résultats du traitement et des investigations ainsi que la déception quant à la qualité des soins médicaux étaient également susceptibles de représenter un facteur déclenchant chez le recourant ; il existait ainsi une motivation claire comme la recherche d’une compensation financière à la suite de l’accident de 1992, après lequel il n’avait plus été en mesure de travailler. bb) Tout en retenant des traits de personnalité narcissiques et paranoïaques, le Dr N.________ n’a pas mis en évidence de limitation fonctionnelle sur le plan psychique. Le recourant ne présentait aucun trouble de l’attention, de la concentration, de la compréhension, de la mémoire des faits récents ou plus anciens. Il n’y avait pas non plus de troubles formels de la pensée sous la forme de clivages, barrages ou réponses à côté. L’examen n’a pas révélé de troubles de la perception sous la forme d’hallucinations auditives, visuelles, cénesthésiques ou olfactives. L’expert n’a pas davantage constaté d’idées interprétatives et de concernement, simples ou délirantes. Il n’a pas non plus observé d’euphorie, de logorrhée, de fuite dans les idées. Il n’y avait pas de comportement provocateur, vindicatif, démonstratif ou manipulateur, ni de contact familier avec l’expert. L’assuré ne présentait pas de signes de stress post-traumatique, de souvenirs envahissants (flashback), de rêves ou de cauchemars. Le Dr N.________ en a déduit que la capacité de travail du recourant était complète sur le plan psychiatrique, rejoignant en cela les Drs P.________ et D.________. cc) On ne voit en l’occurrence aucune raison de s’écarter des conclusions de l’expertise réalisée par le Dr N.________. Outre que ce spécialiste a pris la mesure de la complexité du cas et de sa mission d’en opérer une synthèse claire, il s’est livré à une anamnèse particulièrement complète et rigoureuse, rendant compte des appréciations multiples et divergentes qui ressortent du dossier. Son examen clinique et ce qu’il en déduit sont clairement exposés, et les différents diagnostics retenus par ses confrères systématiquement discutés. Si le recourant met en exergue les conditions ayant présidé au choix du Dr N.________ pour atténuer la</w:t>
      </w:r>
    </w:p>
    <w:p>
      <w:r>
        <w:t>- 19 - valeur probante de son expertise, il n'allègue pas que le rapport établi à l'issue de celle-ci contiendrait des omissions significatives ou des erreurs manifestes à même d'en modifier diamétralement les conclusions. Ainsi, on ne voit pas en quoi les imprécisions dans l'anamnèse professionnelle établie par le Dr N.________ auraient influencé les conclusions auxquelles l'expert est parvenu. Le recourant ne fait pas non plus mention d'éléments objectivement vérifiables qui auraient été ignorés au cours de l'expertise et seraient suffisamment pertinents pour en remettre en cause les conclusions. En particulier, il ne tente pas d'établir, au moyen d'une argumentation circonstanciée, les raisons pour lesquelles il estime que la préférence devrait être donnée au point de vue émis par le Dr R.________. De plus, il n'existe pas de contradiction entre l'expertise réalisée par le Dr N.________ et celle réalisée par le Dr D.________, puisque tous deux concluent à une capacité de travail entière sur le plan psychiatrique. On relèvera pour finir que le Dr J.________, psychiatre traitant, ne s’est pas exprimé sur la teneur du rapport du Dr N.________ ni n’a communiqué aucun constat clinique qui n’aurait pas été analysé par ce dernier. A la demande du conseil du recourant, il s’est limité à confirmer que son patient observait scrupuleusement le traitement prescrit et que celui-ci lui convenait. dd) Dès lors, compte tenu de l’absence de pathologie psychiatrique à caractère incapacitant, il n’y a pas lieu d’examiner la situation au regard des principes applicables en matière d’évaluation de la capacité de travail en présence de maladies psychiques (cf. ATF 143 V 409 et 143 V 418). c) A la lumière de l’appréciation convaincante des experts Q.________ et N.________, il y a lieu de retenir que le recourant ne présente pas, faute de péjoration de son état de santé, respectivement d’atteintes invalidantes, une modification de sa capacité de travail, laquelle demeure entière dans une activité adaptée à ses limitations fonctionnelles. Il s’ensuit que le degré d’invalidité ne s’est pas modifié de manière notable par rapport à la situation tranchée par la décision de suppression de prestations du 30 janvier 2008, entrée en force.</w:t>
      </w:r>
    </w:p>
    <w:p>
      <w:r>
        <w:t>- 20 -</w:t>
      </w:r>
    </w:p>
    <w:p>
      <w:r>
        <w:rPr>
          <w:b/>
        </w:rPr>
        <w:t>E. 7</w:t>
      </w:r>
    </w:p>
    <w:p>
      <w:r>
        <w:t>Le dossier est complet et permet à la Cour de céans de statuer en pleine connaissance de cause. Il n’y a dès lors pas lieu de compléter l’instruction, comme le sollicite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anticipées des preuves ; ATF 141 I 60 consid. 3.3 ; 136 I 229 consid. 5.3 ; TF 8C_139/2016 du 24 octobre 2016 consid. 4.2). Une telle manière de voir ne viole pas, en tant que telle, les garanties de procédure (ATF 130 II 425 consid. 2.1 ; 122 II 464 consid. 4a ; 119 V 335 consid. 3c ; TF 9C_382/2008 du 22 juillet 2008 consid. 3 et les références).</w:t>
      </w:r>
    </w:p>
    <w:p>
      <w:r>
        <w:rPr>
          <w:b/>
        </w:rPr>
        <w:t>E. 8</w:t>
      </w:r>
    </w:p>
    <w:p>
      <w:r>
        <w:t>En définitive, en déniant le droit du recourant à une rente d’invalidité, la décision attaquée échappe à la critique. Il s’ensuit que le recours, mal fondé, doit être rejeté, ce qui entraîne la confirmation de la décision rendue le 12 juin 2017.</w:t>
      </w:r>
    </w:p>
    <w:p>
      <w:r>
        <w:rPr>
          <w:b/>
        </w:rPr>
        <w:t>E. 9</w:t>
      </w:r>
    </w:p>
    <w:p>
      <w:r>
        <w:t>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 VD). Toutefois, dès lors que le recourant est au bénéfice de l'assistance judiciaire, ces frais sont laissés provisoirement à la charge de l'Etat. Il n'y a</w:t>
      </w:r>
    </w:p>
    <w:p>
      <w:r>
        <w:t>- 21 - au demeurant pas lieu d'allouer de dépens, le recourant n'obtenant pas gain de cause (art. 55 al. 1 LPA-VD ; cf. art. 61 let. g LPGA). b) Le recourant a obtenu, au titre de l'assistance judiciaire, la commission d'office d'un avocat en la personne de Me Olivier Carré à compter du 14 juillet 2017 jusqu'au terme de la présente procédure (art. 118 al. 1 let. c CPC, applicable par renvoi de l'art. 18 al. 5 LPA-VD). La rémunération de l'avocat d'office est provisoirement supportée par le canton (art. 122 al. 1 let. a CPC, applicable par renvoi de l'art. 18 al. 5 LPA- 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Le 13 décembre 2017, Me Carré a produit le relevé des opérations effectuées dans le cadre de la présente procédure du 14 juillet à cette date. Son activité a été contrôlée au regard de la conduite du procès et rentre globalement dans le cadre de l’accomplissement du mandat confié, de sorte qu’elle doit être arrêtée à 10 heures et 6 minutes au tarif horaire de 180 fr. (art. 2 al. 1 RAJ [règlement cantonal vaudois du 7 décembre 2010 sur l’assistance judiciaire en matière civile ; RSV 211.02.3]), soit 1’818 fr., auxquels s’ajoutent 100 fr. de débours (art. 3 al. 3 RAJ), ce qui représente un montant total en faveur de Me Carré de 2'071 fr. 45, TVA au taux de 8% par 153 fr. 45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