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ZD17.030244 vom 6. März 2018</w:t>
      </w:r>
    </w:p>
    <w:p>
      <w:r>
        <w:t>VD Tribunal cantonal, 2018-03-06, FR</w:t>
      </w:r>
    </w:p>
    <w:p>
      <w:r>
        <w:rPr>
          <w:b/>
        </w:rPr>
        <w:t xml:space="preserve">Quelle: </w:t>
      </w:r>
      <w:r>
        <w:t>https://mcp.opencaselaw.ch/entscheid/vd_gerichte_ZD17.030244</w:t>
      </w:r>
    </w:p>
    <w:p>
      <w:r>
        <w:t>FR: VD_GERICHTE ZD17.030244 du 6 mars 2018</w:t>
      </w:r>
    </w:p>
    <w:p>
      <w:r>
        <w:t>IT: VD_GERICHTE ZD17.030244 del 6 marzo 2018</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w:t>
      </w:r>
    </w:p>
    <w:p>
      <w:r>
        <w:rPr>
          <w:b/>
        </w:rPr>
        <w:t>E. 2</w:t>
      </w:r>
    </w:p>
    <w:p>
      <w:r>
        <w:t>a) Le litige porte sur le refus de l’Office de l’assurance- invalidité pour le Canton de Vaud d’entrer en matière sur la nouvelle demande de prestations présentée par la recourante le 17 mai 2016. b) Compte tenu de l’objet du litige, la présente procédure n’est pas le lieu pour examiner si les conditions d’une révision procédurale sont remplies. La question de savoir si les rapports du Dr M.________ constituent des moyens de preuves nouveaux, respectivement s’ils relèvent des faits nouveaux au sens de l’art. 53 al. 1 LPGA justifiant une procédure de révision de la décision du 12 décembre 2013 peut demeurer indécise.</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w:t>
      </w:r>
    </w:p>
    <w:p>
      <w:r>
        <w:t>- 9 -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Pour apprécier le caractère plausible des allégations de l'assuré, l’administration jouit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Le juge doit examiner la situation d’après l’état de fait tel qu’il se présentait au moment où l’administration a statué (ATF 130 V 64 consid. 5.2.5). Il s'ensuit que les rapports médicaux établis ultérieurement au prononcé de la décision attaquée ne peuvent être pris en considération dans un litige de ce genre, l'examen du juge des assurances sociales étant d'emblée limité au point de savoir si les pièces déposées en procédure</w:t>
      </w:r>
    </w:p>
    <w:p>
      <w:r>
        <w:t>- 10 - administrative justifiaient ou non la reprise de l'instruction du dossier (ATF 130 V 64 ; TF I 597/05 du 8 janvier 2007 consid. 3.2).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4</w:t>
      </w:r>
    </w:p>
    <w:p>
      <w:r>
        <w:t>a) Dans sa décision du 12 décembre 2013, l’OAI a constaté que la recourante disposait, après qu’elle ait terminé avec succès sa formation en qualité d’assistante de bureau (suivie à un taux de 80%), d’une capacité de travail de 80% (sans diminution de rendement) qu’elle était en mesure de valoriser sur le marché du travail. b) Selon les observations de la directrice adjointe de l’entreprise N.________, ancien employeur de l’assurée, telles que rapportées par le Dr M.________ dans son rapport du 18 mars 2015, la recourante présentait des difficultés de mémorisation, d’automatisation et de concentration nécessitant une présence pédagogique continuelle ; ont également été mentionnées des moments d’absence mentale, se révélant</w:t>
      </w:r>
    </w:p>
    <w:p>
      <w:r>
        <w:t>- 11 - notamment sous stress. En raison de ces difficultés, l’employeur, doté au demeurant de structures permettant d’accueillir des personnes en réinsertion, a rapporté un rendement diminué, compris entre 70 et 80%, alors que la recourante était employée à mi-temps (50%). L’existence de difficultés cognitives est corroborée par les observations du Dr M.________. En effet, dans son appréciation du 18 mars 2015, le médecin fait mention de failles d’attention et de concentration, de blocages de la pensée et des automatismes, d’une grande fatigabilité ainsi que d’un besoin élevé de temps de repos, ce qui l’a conduit à retenir un syndrome post- commotionnel (CIM-10 : F07.2). Les difficultés cognitives et leur influence sur la capacité de travail sont à nouveau décrites dans le rapport complémentaire du 1er février 2016. Les conclusions de l’ancien employeur de l’assurée et celles du Dr M.________ sont également en adéquation sur la question de la capacité de travail, le médecin estimant qu’une capacité de travail de 50%, avec un rendement d’environ 75%, constitue le maximum atteignable pour la recourante. Il se justifie de relever également que, au vu du dossier, il n’existe aucun indice selon lequel la recourante aurait fait preuve de mauvaise volonté ou limité de manière volontaire ses efforts. c) Dans ce contexte, il n’y a pas lieu de suivre l’avis SMR du 31 mars 2017. En effet, l’appréciation du SMR n’examine pas de manière concrète l’influence des plaintes de la recourante sur l’exercice d’une activité lucrative, telles que décrites dans les rapports du Dr M.________. Elle se limite à une appréciation superficielle reposant pour l’essentiel sur la comparaison des entités diagnostiques. Ne permettant pas de porter un jugement valable sur la question litigieuse, la position SMR n’est pas à même de mettre en doute les observations rapportées par le Dr M.________. d) Compte tenu de ce qui précède, il apparaît que la confrontation de la recourante avec le marché du travail, dans un environnement qualifié par ailleurs de favorable, ne semble pas avoir permis de confirmer la capacité de travail de 80% retenue initialement par l’intimé dans sa décision du 12 décembre 2013. Cette divergence étant</w:t>
      </w:r>
    </w:p>
    <w:p>
      <w:r>
        <w:t>- 12 - suffisamment sensible pour jeter un doute sur les possibilités réelles de la recourante de travailler à un taux de 80%, la recourante a rendu plausible une modification des circonstances propre à influencer ses droits. Partant, il est justifié d’entrer en matière sur la nouvelle demande de la recourante.</w:t>
      </w:r>
    </w:p>
    <w:p>
      <w:r>
        <w:rPr>
          <w:b/>
        </w:rPr>
        <w:t>E. 5</w:t>
      </w:r>
    </w:p>
    <w:p>
      <w:r>
        <w:t>Au vu de l’issue de la procédure, les mesures d’instruction requises par la recourante, en particulier la tenue d’une audience, n’apparaissent pas de nature à apporter un éclairage différent sur les éléments retenus ci-dessus et peuvent dès lors être écartées (ATF 137 III 208 consid. 2.2; ATF 135 II 286 consid. 5.1).</w:t>
      </w:r>
    </w:p>
    <w:p>
      <w:r>
        <w:rPr>
          <w:b/>
        </w:rPr>
        <w:t>E. 6</w:t>
      </w:r>
    </w:p>
    <w:p>
      <w:r>
        <w:t>a) Le recours est par conséquent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à 400 fr. et de les mettre à charge de l’OAI, qui succombe. c) La recourante voit ses conclusions admises, de sorte qu'elle peut prétendre à une indemnité de dépens à la charge de l'intimé. Il convient de fixer cette indemnité à 2’500 fr., compte tenu de l'importance et de la complexité du litige (art. 61 let. g LPGA ; art. 11 al. 2 TFJDA [tarif cantonal vaudois du 28 avril 2015 des frais judiciaires et des dépens en matière administrative ; RSV 173.36.5.1])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