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ZD17.027491 vom 25. Juni 2018</w:t>
      </w:r>
    </w:p>
    <w:p>
      <w:r>
        <w:t>VD Tribunal cantonal, 2018-06-25, FR</w:t>
      </w:r>
    </w:p>
    <w:p>
      <w:r>
        <w:rPr>
          <w:b/>
        </w:rPr>
        <w:t xml:space="preserve">Quelle: </w:t>
      </w:r>
      <w:r>
        <w:t>https://mcp.opencaselaw.ch/entscheid/vd_gerichte_ZD17.027491</w:t>
      </w:r>
    </w:p>
    <w:p>
      <w:r>
        <w:t>FR: VD_GERICHTE ZD17.027491 du 25 juin 2018</w:t>
      </w:r>
    </w:p>
    <w:p>
      <w:r>
        <w:t>IT: VD_GERICHTE ZD17.027491 del 25 giugno 2018</w:t>
      </w:r>
    </w:p>
    <w:p>
      <w:pPr>
        <w:pStyle w:val="Heading2"/>
      </w:pPr>
      <w:r>
        <w:t>Erwägungen</w:t>
      </w:r>
    </w:p>
    <w:p>
      <w:r>
        <w:rPr>
          <w:b/>
        </w:rPr>
        <w:t>E. 4</w:t>
      </w:r>
    </w:p>
    <w:p>
      <w:r>
        <w:t>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(art. 7 al. 2, deuxième phrase, LPGA ; ATF 141 V 281 consid. 3.7.1, 127 V 294 consid. 4c in fine et 102 V 165 ; Pratique VSI 5/2001 p. 223 consid. 2b et les références citées). Avant tout, la reconnaissance de l’existence d’une atteinte à la santé psychique suppose la présence d’un diagnostic émanant d’un expert (psychiatre) et s’appuyant lege artis sur les critères d’un système de classification reconnu (ATF 141 V 281 consid. 2.1 et 2.1.1 et 130 V 396 consid. 5.3 et 6). b)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Dans un arrêt du 3 juin 2015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w:t>
      </w:r>
    </w:p>
    <w:p>
      <w:r>
        <w:t>- 23 -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w:t>
      </w:r>
    </w:p>
    <w:p>
      <w:r>
        <w:t>- 24 -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(consid. 4.4 de l’arrêt cité).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Les expertises mises en œuvre selon les anciens standards de procédure ne perdant pas d’emblée toute valeur probante, il y a lieu d’examiner si les expertises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renvoyant à l’ATF 137 V 210 consid. 6 in initio).</w:t>
      </w:r>
    </w:p>
    <w:p>
      <w:r>
        <w:t>- 25 -</w:t>
      </w:r>
    </w:p>
    <w:p>
      <w:r>
        <w:rPr>
          <w:b/>
        </w:rPr>
        <w:t>E. 5</w:t>
      </w:r>
    </w:p>
    <w:p>
      <w:r>
        <w:t>En l’espèce, dans le cadre d’une procédure de révision d’office, l’OAI a constaté que la capacité de travail du recourant dans une activité adaptée était désormais totale et a de ce fait supprimé la rente entière allouée à ce dernier depuis le 1er septembre 2000. Il convient ainsi d’examiner si le degré d’invalidité de l’assuré a subi une modification significative entre les décisions du 7 octobre 2003, qui lui ont reconnu le droit à une rente entière, et la décision litigieuse du 19 mai 2017. a) Pour rendre les décisions du 7 octobre 2003, l’OAI s’est fondé sur le rapport d’examen clinique du 7 juillet 2003 des Drs S.________ et A.________ du SMR. Ceux-ci avaient posé les diagnostics de trouble de l’adaptation réaction mixte, anxieuse et dépressive (F 43.22), de trouble somatoforme douloureux persistant (F 45.4), ainsi que de trouble de la personnalité narcissique avec des traits paranoïaques décompensé. Sur le plan somatique, ils avaient notamment retenu de discrets troubles statiques et dégénératifs cervico-lombaires, une discrète polyneuropathie sensitive aux membres supérieurs et inférieurs, ainsi qu’un status après chimiothérapie et radiothérapie d’un carcinome peu différencié lympho- épithélial du rhinopharynx gauche de stade T3 en 1999 et 2000. D’après les spécialistes, les lésions organiques identifiées étaient compatibles avec une pleine capacité de travail dans une activité adaptée. En revanche, ils ont conclu que la problématique psychiatrique impliquait une incapacité totale de travail dans toute activité depuis l’automne 1999. C’est donc uniquement en raison des atteintes psychiques présentées par le recourant qu’une rente entière lui a été allouée. b) Au cours de la procédure de révision initiée par l’OAI à la fin 2011, l’intéressé a été examiné par le Dr Brinken dans le cadre d’une expertise psychiatrique. Dans son rapport du 28 janvier 2013, ce spécialiste a retenu les diagnostics ayant une répercussion sur la capacité de travail de personnalité narcissique non décompensée et de syndrome douloureux somatoforme persistant. Selon lui, la capacité de travail de l’assuré était dans un premier temps de 50 %.</w:t>
      </w:r>
    </w:p>
    <w:p>
      <w:r>
        <w:t>- 26 - Le recourant soutient que l’expertise du Dr R.________ constitue uniquement une appréciation différente d’un état de fait demeuré inchangé depuis le rapport du 7 juillet 2003 du SMR. Or, après s’être entretenu avec l’intéressé, avoir examiné l’entier du dossier AI, avoir fait état de l’anamnèse et pris en considération les plaintes de l’assuré, le spécialiste a expliqué avec précision les raisons pour lesquelles il retenait que l’état de santé de l’assuré s’était amélioré depuis le rapport précité du SMR. Le Dr R.________ a notamment exposé que l’examen actuel montrait une nette stabilisation de l’état de l’assuré, lequel n’exprimait plus de crainte d’une détérioration de sa situation générale, ni de hantise de finir dans une chaise roulante, comme en 2003. Au contraire, au cours de l’évolution favorable de sa maladie cancéreuse, les angoisses de mort et de souffrance se limitaient à des traits anxieux. Ceux-ci ne justifiaient plus le diagnostic d’un trouble anxieux et dépressif mixte comme manifestation chronique du trouble de l’adaptation retenu en 2003. Le Dr R.________ a par ailleurs expliqué que les douleurs de l’assuré – constituant la plainte principale – correspondaient toujours à un syndrome douloureux somatoforme persistant, mais que leur importance semblait nettement moins prononcée qu’en 2003, car à l’examen, l’intéressé ne montrait que peu, voire pas de comportement algique. En outre, il a noté que l’assuré était resté assis durant l’entretien d’une durée de 2 h 30, même si celui-ci décrivait une incapacité à garder une position assise ou debout. Il sied à cet égard de relever qu’en 2003, les spécialistes du SMR avaient retenu comme limitation fonctionnelle la nécessité de pouvoir alterner les positions assise et debout environ deux fois par heure. De plus, le Dr R.________ a signalé que le recourant décrivait la survenue de douleurs cervicales et lombaires surtout après certains mouvements, alors qu’il ressort du rapport de 2003 que les douleurs cervicales étaient permanentes, augmentant lors de certains efforts. Par ailleurs, l’expert a expliqué que l’assuré ne se montrait plus agressif ou projectif comme décrit par la Dresse A.________ en 2003, mais donnait l’impression de s’être « arrangé » avec sa situation. Sa vie sociale, avec une relation conjugale harmonieuse et des sorties avec des amis, montrait un équilibre stabilisé, sans élément en faveur d’un rôle de victime persécutée, vivant le monde extérieur comme menaçant et ayant perdu son rôle de chef de</w:t>
      </w:r>
    </w:p>
    <w:p>
      <w:r>
        <w:t>- 27 - famille, tel que décrit en 2003. Selon le Dr R.________, le diagnostic d’une personnalité narcissique devait ainsi être confirmé, mais celle-ci n’était plus décompensée. L’appréciation de la situation médicale faite par l’expert est claire et bien détaillée. Ainsi, il ressort de cette expertise, de manière probante, qu’en 2013, l’état de santé de l’assuré s’est amélioré par rapport à 2003, même si certaines observations objectives se recoupent avec celles du rapport du SMR précité. Il sied encore de relever, à l’instar de l’OAI, que le véritable sentiment de détresse, ainsi que la souffrance psychique et physique soulignés par la Dresse A.________ lors de l’examen de 2003 ne transparaissent pas dans l’expertise du Dr R.________. S’agissant de l’évaluation de la capacité de travail, l’expert a examiné le cas selon les anciens critères jurisprudentiels relatifs aux troubles somatoformes douloureux persistant. Il a expliqué que la personnalité narcissique, non décompensée, ne justifiait plus le diagnostic d’une comorbidité psychiatrique incapacitante du syndrome douloureux somatoforme persistant. En particulier, l’expertisé continuait à mener une vie sociale active, sans perte de l’intégration sociale sur toutes les manifestations de la vie, ni de perturbation sévère de l’environnement psychosocial, comme constatées en 2003. L’anamnèse ne montrait pas d’état psychique cristallisé. En l’absence de tout suivi psychiatrique, il n’y avait pas non plus d’échec de traitement conforme aux règles de l’art. En conséquence, le Dr R.________ a conclu que l’état de l’assuré était compatible avec la reprise au moins partielle d’une activité professionnelle. Il a précisé qu’une telle reprise devrait se dérouler progressivement en visant, dans un premier temps, un taux d’activité de 50 %, ceci pour tenir compte du déconditionnement de l’assuré – après plus de dix ans d’inactivité professionnelle – et de sa fragilité. Il a ajouté que ce taux pourrait être augmenté après une reprise du travail vécue comme valorisante. Ce taux partiel initial a ainsi été retenu surtout en raison du déconditionnement de l’expertisé.</w:t>
      </w:r>
    </w:p>
    <w:p>
      <w:r>
        <w:t>- 28 - Cela étant, il convient toutefois de procéder à l’analyse du cas à l’aune de la nouvelle jurisprudence du Tribunal fédéral en matière de troubles somatoformes douloureux (cf. consid. 4b supra). Tout d’abord, il y a lieu de constater que l’expert a retenu quelques incohérences entre les plaintes de l’assuré et les observations effectuées lors de l’examen. Le Dr R.________ a illustré ses propos en décrivant que l’expertisé avait relaté une incapacité à garder une position assise ou debout, alors qu’il était resté assis pendant l’examen qui avait duré 2 h 30, qu’il était capable d’entreprendre quotidiennement des promenades d’une heure ou plus et de se rendre en voiture au [...], avec des trajets de 18 à 20 heures. Les plaintes ne concordent ainsi pas avec les constatations de l’expert, ce qui amène à retenir un phénomène d’exagération des symptômes. Pour cette raison déjà, il y aurait lieu de conclure à l’absence d’une atteinte à la santé ouvrant le droit à des prestations de l’assurance-invalidité. Quoi qu’il en soit, l’analyse de la capacité de travail à l’aune des nouveaux indicateurs définis par le Tribunal fédéral aboutit à la même conclusion. En particulier, l’assuré n’a jamais été suivi sur le plan psychiatrique, de sorte que l’on ne peut considérer que l’atteinte est résistante à tout traitement. En outre, s’agissant des comorbidités, seule une personnalité narcissique, qui plus est, non décompensée, a été retenue. De plus, l’indicateur se rapportant à la cohérence révèle que la limitation des niveaux d’activités alléguée n’est pas uniforme dans les différents domaines de la vie. En effet, il ressort des déclarations du recourant qu’il mène une vie quotidienne relativement active. Il a expliqué à l’expert R.________ se lever à 6 h 30, préparer le petit-déjeuner pour ses enfants, manger avec eux et s’occuper de la vaisselle. Ensuite, il s’intéresse aux nouvelles et s’occupe de la correspondance et des finances de la famille, notamment des paiements. Quand il fait beau, il effectue des promenades, d’une heure ou plus, puis rentre cuisiner pour ses enfants. L’après-midi, il va encore se balader et rencontre parfois des connaissances. Le soir, il aide sa femme à préparer les repas et mange en famille. Il lui arrive de sortir encore après le repas, s’il est invité par des amis. Il effectue régulièrement les courses. Il s’engage ainsi pour ses enfants et sa famille, et décrit par ailleurs une</w:t>
      </w:r>
    </w:p>
    <w:p>
      <w:r>
        <w:t>- 29 - relation conjugale harmonieuse. Il se rend également une fois par année chez sa famille au [...], avec son épouse et ses enfants. Enfin, il conserve des liens sociaux, ayant lui-même décrit avoir un cercle de bons amis et aider parfois à la mission catholique. Ainsi, il ressort de l’analyse des indicateurs définis par la jurisprudence que l’assuré ne présente pas d’atteinte à la santé invalidante et que sa capacité de travail est totale, telle que retenue par le Dr G.________ du SMR (cf. avis des 9 février 2016 et 26 janvier 2017). S’il est vrai que le recourant présente un déconditionnement du fait de son éloignement du monde du travail depuis de nombreuses années, ainsi que l’a relevé le Dr R.________, il sied de constater que l’OAI lui a proposé des mesures professionnelles, qu’il a refusées sans même entrer en matière (cf. consid. 7 infra), ceci bien avant que l’OAI lui supprime sa rente. Il ne fait aucun doute qu’une participation active de l’intéressé à ces mesures, conformément à son obligation de diminuer le dommage, aurait largement contribué à la réduction de son déconditionnement et à l’augmentation progressive de sa capacité de travail. Dès lors que l’OAI a supprimé la rente au 1er juillet 2017 seulement, il n’y a pas lieu de détailler les paliers de l’augmentation progressive de la capacité de travail. Enfin, même si l’expertise du Dr R.________ date de 2013, aucun élément au dossier ne démontre que l’amélioration constatée à cette date s’est modifiée de manière à pouvoir remettre en cause les considérations qui précèdent. En effet, dans son rapport du 18 septembre 2014, le Dr C.________ a surtout mis en avant la problématique du desséchement de la production de salive, obligeant le patient à s’humecter constamment la bouche. Or, dans leur rapport du 7 juillet 2003, les Drs S.________ et A.________ avaient déjà retenu comme limitation fonctionnelle la nécessité de pouvoir interrompre très fréquemment l’activité pour boire un peu d’eau, ce qui, selon eux, n’entravait pas la capacité totale de travail retenue sur le plan somatique. Le Dr C.________ a également indiqué que son patient ne pouvait pas réaliser de véritable activité physique. Toutefois, il n’a pas précisé que ceci était apparu</w:t>
      </w:r>
    </w:p>
    <w:p>
      <w:r>
        <w:t>- 30 - récemment, exposant au contraire qu’il s’agissait de séquelles de la chimiothérapie. Quant au Dr M.________, outre la sécheresse buccale, il a fait état de cervicalgies, de myalgies diffuses, ainsi que de douleurs aux articulations temporo-mandibulaires (cf. rapport du 15 juillet 2016). Les douleurs diffuses, notamment au niveau de la nuque, ne sont pas nouvelles et avaient déjà été relevées tant par les Drs S.________ et A.________ en 2003 que par le Dr R.________. Enfin, la suspicion de carcinome prostatique ne s’est pas concrétisée, les résultats d’analyses s’étant révélés rassurants (cf. courriers des 22 novembre et 14 décembre 2016 du Dr M.________). Ainsi, l’intimé était fondé à reconnaître à l’assuré une capacité totale de travail. Le Dr R.________ a estimé, d’un point de vue psychiatrique uniquement, que l’activité habituelle de chauffeur-livreur était adaptée, car elle laissait à l’expertisé un maximum d’autonomie dans l’organisation de son travail, sans intégration dans une hiérarchie stricte, ni de travail en équipe. Toutefois, cette activité n’est pas adaptée aux limitations fonctionnelles que présente le recourant sur le plan somatique, telles qu’elles ressortent du rapport du 7 juillet 2003 du SMR. C’est donc à juste titre que l’OAI a retenu une pleine capacité de travail dans toute activité respectant lesdites limitations fonctionnelles.</w:t>
      </w:r>
    </w:p>
    <w:p>
      <w:r>
        <w:rPr>
          <w:b/>
        </w:rPr>
        <w:t>E. 6</w:t>
      </w:r>
    </w:p>
    <w:p>
      <w:r>
        <w:t>Il convient d’examiner le préjudice économique subi par le recourant.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w:t>
      </w:r>
    </w:p>
    <w:p>
      <w:r>
        <w:t>- 31 - Pour établir le revenu que l’assuré pourrait réaliser malgré les atteintes à la santé dont il souffre (revenu d’invalide), la jurisprudence admet de se référer, à certaines conditions, aux données statistiques de l’Enquête suisse sur la structure des salaires (ci-après : ESS), publiée par l’Office fédéral de la statistique, lorsque l’assuré n’a pas repris d’activité lucrative dans une profession adaptée (ATF 129 V 472 consid. 4.2.1 ; TF 9C_900/2009 du 27 avril 2010 consid. 3.3). b) En l’espèce, l’OAI a retenu à juste titre que le moment déterminant pour la comparaison des revenus est l’année 2013. Il a fixé le salaire sans invalidité à 66'587 fr., se fondant sur les données transmises par l’employeur L.________ en 2000 (4'323 fr. x 13), en précisant les avoir indexées à 2013. Or, le montant déterminé par l’OAI correspond à une indexation à l’année 2012, celle pour l’année 2013 aboutissant à un montant de 67'120 fr. 29. Quant au revenu d’invalide, dès lors que le recourant n’a pas repris d’activité lucrative dans une activité adaptée et ne dispose pas de formation professionnelle, il doit être déterminé selon les données statistiques de l’ESS en se référant au revenu mensuel brut pour une activité simple et répétitive. Le salaire mensuel retenu par l'ESS 2012 pour les hommes effectuant une telle activité dans le secteur privé s'élève à 5’210 fr., part au 13ème salaire comprise (ESS 2012, TA1, niveau de qualification 1). Ce salaire doit toutefois être adapté compte tenu du fait que les salaires bruts standardisés se basent sur un horaire de travail de quarante heures, soit une durée hebdomadaire inférieure à celle prévalant dans les entreprises en 2013, à savoir 41,7 heures (La Vie économique, tableau B 9.2). Le revenu d'invalide s’élève ainsi à 5'431 fr. 43 par mois (4’901 fr. x 41,7 : 40 heures), correspondant à un montant de 65’177 fr.</w:t>
      </w:r>
    </w:p>
    <w:p>
      <w:r>
        <w:rPr>
          <w:b/>
        </w:rPr>
        <w:t>E. 10</w:t>
      </w:r>
    </w:p>
    <w:p>
      <w:r>
        <w:t>par année. Ce revenu doit encore être adapté à l’évolution des salaires nominaux de 2012 à 2013, ce qui conduit à un gain annuel de 65'633 fr. 34 (+ 0.7 % en 2013 [La Vie économique, tableau B 10.2]). Dans la décision attaquée, l’intimé a opéré sur ce revenu un abattement de 10 %</w:t>
      </w:r>
    </w:p>
    <w:p>
      <w:r>
        <w:t>- 32 - pour tenir compte des limitations fonctionnelles, si bien que le revenu d'invalide s'élève à temps plein à 59'070 fr. 01. Ainsi, il résulte de la comparaison des revenus avec et sans invalidité une incapacité de gain de 12 %, insuffisante pour maintenir le droit à une rente (cf. art. 28 al. 2 LAI ; consid. 6a supra). c) En conclusion, la situation de l’assuré a connu une amélioration notable et durable depuis 2013 au moins, justifiant une révision du droit à la rente, soit la suppression de la rente entière à partir du 1er juillet 2017. Cette date correspond au premier jour du deuxième mois suivant la notification de la décision litigieuse du 19 mai 2017 (cf. art. 88a al. 1 et 88bis al. 2 let. a RAI ; consid. 3b supra). 7. Le recourant reproche enfin à l’OAI de s’être contenté de lui offrir la possibilité d’effectuer un stage pour qu’il puisse reprendre son activité de chauffeur-livreur, qui n’était pas adaptée, avant de supprimer sa rente. Il est vrai qu’en 2013, un tel stage et des mesures de réinsertion dans son ancienne activité lui ont été proposés. Toutefois, l’assuré a déclaré qu’il ne pouvait reprendre aucun emploi. Il n’est même pas entré en matière sur une quelconque reprise d’activité (cf. rapport initial du 15 juillet 2013 et note de suivi du 12 août 2013 de l’OAI). A cet égard, il a reçu une sommation de l’OAI (cf. courrier recommandé du 14 août 2013) et a confirmé son refus (cf. courrier du 11 septembre 2013). Par la suite, dans le cadre d’un entretien du 11 juillet 2016, un soutien dans la reprise d’une activité professionnelle adaptée lui a été offert. Là encore, le recourant a catégoriquement refusé d’entrer en matière (cf. note du 11 juillet 2016 de l’OAI). Le même jour, il a été sommé, par lettre recommandée, de confirmer qu’il allait participer pleinement aux mesures qui seraient mises en place. L’OAI l’a en outre informé qu’en cas de réponse négative ou sans réponse de sa part, l’instruction de son droit à des mesures professionnelles serait interrompue et qu’il serait procédé à l’évaluation de son taux d’invalidité en tenant compte d’une capacité de travail de 100 % dans une activité adaptée à ses limitations fonctionnelles. En réponse à ce courrier, l’assuré s’est contenté de transmettre un rapport</w:t>
      </w:r>
    </w:p>
    <w:p>
      <w:r>
        <w:t>- 33 - de son médecin traitant attestant une incapacité totale de travail (cf. rapport du 15 juillet 2016 du Dr M.________). Ainsi, la procédure suivie par l’OAI, qui a effectué plusieurs entretiens avec le recourant, lui a offert un soutien dans la reprise d’une activité professionnelle adaptée et lui a adressé des sommations, ne prête pas flanc à la critique. 8. a) En définitive,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du recourant, qui succombe.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