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ZD17.025272 vom 14. Juni 2018</w:t>
      </w:r>
    </w:p>
    <w:p>
      <w:r>
        <w:t>VD Tribunal cantonal, 2018-06-14, FR</w:t>
      </w:r>
    </w:p>
    <w:p>
      <w:r>
        <w:rPr>
          <w:b/>
        </w:rPr>
        <w:t xml:space="preserve">Quelle: </w:t>
      </w:r>
      <w:r>
        <w:t>https://mcp.opencaselaw.ch/entscheid/vd_gerichte_ZD17.025272</w:t>
      </w:r>
    </w:p>
    <w:p>
      <w:r>
        <w:t>FR: VD_GERICHTE ZD17.025272 du 14 juin 2018</w:t>
      </w:r>
    </w:p>
    <w:p>
      <w:r>
        <w:t>IT: VD_GERICHTE ZD17.025272 del 14 giugno 2018</w:t>
      </w:r>
    </w:p>
    <w:p>
      <w:pPr>
        <w:pStyle w:val="Heading2"/>
      </w:pPr>
      <w:r>
        <w:t>Erwägungen</w:t>
      </w:r>
    </w:p>
    <w:p>
      <w:r>
        <w:rPr>
          <w:b/>
        </w:rPr>
        <w:t>E. 19</w:t>
      </w:r>
    </w:p>
    <w:p>
      <w:r>
        <w:t>novembre 2007 consid. 3.2). Si elle estime que l'état de fait déterminant n'est pas suffisamment établi, ou qu'il existe des doutes</w:t>
      </w:r>
    </w:p>
    <w:p>
      <w:r>
        <w:t>- 23 - sérieux quant à la valeur probante des éléments recueillis, l'administration doit mettre en œuvre les mesures nécessaires au complément de l'instruction (TF I 906/05 du 23 janvier 2007 consid. 6). b)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 6. a) En l’espèce, la recourante conteste l’appréciation de la situation médicale telle que réalisée par l’OAI, considérant en particulier que le SMR n’a pas analysé les diverses pathologies dont elle souffre, notamment la problématique de la fibromyalgie. b) Il ressort du dossier de la cause que la recourante présente de nombreux troubles, tant sur le plan physique que sur le plan psychique. Selon le Dr R.________, rhumatologue et médecin auprès du SMR, W.________ souffre de rachialgies diffuses dans le cadre de troubles statiques et dégénératifs du rachis associées à une périarthrite scapulo- humérale, avec effet sur la capacité de travail. Elle présente également une fibromyalgie, un excès pondéral avec BMI à 29, un status après fracture du poignet droit, un status après trois fractures costales gauches, un status après radiothérapie et chimiothérapie pour lymphome hodgkinien de type sclérose nodulaire III B, un status après maladie de Sudeck de la main droite dans le cadre d’une possible déchirure de la plaque palmaire à la hauteur de l’articulation métacarpo-phalangiennes du deuxième rayon droit, une allergie au pollen et à certains produits de nettoyage, une leucoaraïose cérébrale et des céphalées de tension (cf. rapport du 7 novembre 2016 du Dr R.________). Selon le SMR, ces atteintes n’ont toutefois pas de répercussion sur la capacité de travail de la recourante. Le Dr Y.________, spécialiste en psychiatrie et psychothérapie, pose quant à lui les diagnostics de modification durable</w:t>
      </w:r>
    </w:p>
    <w:p>
      <w:r>
        <w:t>- 24 - de la personnalité sur trouble dépressif récurrent, de trouble dépressif récurrent, épisode actuel moyen à sévère sans symptôme psychotique, d’épisode de perte de connaissance avec chutes et fractures costales et déboitement de l’épaule gauche en cours d’investigations, de trouble anxieux avec épisodes d’anxiété paroxystiques, de syndrome douloureux pan-vertébral d’origine probablement dégénérative, de fibromyalgie, et de céphalées de tension chronique (cf. son rapport du 9 décembre 2015). Dans son rapport du 12 avril 2017, le Dr Y.________ précise que le trouble dépressif est maintenant qualifié de sévère. c) S’agissant tout d’abord de la problématique de la fibromyalgie, il convient préalablement de rappeler ce qui suit. aa)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bb) Dans les cas de troubles somatoformes douloureux, il existait, jusqu’à l’arrêt rendu le 3 juin 2015 par le Tribunal fédéral en la cause 9C_492/2014 publié aux ATF 141 V 281, une présomption selon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w:t>
      </w:r>
    </w:p>
    <w:p>
      <w:r>
        <w:t>- 25 -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cf. notamment TF 9C_547/2008 du 19 juin 2009 consid. 2.2 et réf. cit.). cc) Dans l’ATF 141 V 281 cité ci-dessus,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w:t>
      </w:r>
    </w:p>
    <w:p>
      <w:r>
        <w:t>- 26 -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(cf. ch. F45.40 de la CIM [Classification internationale des maladies] 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w:t>
      </w:r>
    </w:p>
    <w:p>
      <w:r>
        <w:t>- 27 -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w:t>
      </w:r>
    </w:p>
    <w:p>
      <w:r>
        <w:t>- 28 -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(TAF C- 1916/2015 du 31 mai 2016 et réf. cit.). d) Dans le cas d’espèce, on constate que le diagnostic de fibromyalgie a été posé à réitérées reprises par les médecins de la recourante (cf. notamment rapport du 14 juillet 2015 du Dr J.________ et du 9 décembre 2015 du Dr Y.________) et qu’il a été confirmé par le Dr R.________ du SMR dans le cadre de son examen du 1er novembre 2016. C’est d’ailleurs notamment en raison de cette affection que la demande de prestations AI a été déposée. Toutefois, les répercussions de cette atteinte n’ont pas été examinées conformément à la jurisprudence précitée. On retrouve certes dans l’appréciation du Dr R.________, de manière éparse, quelques éléments ressortant de la grille d’analyse du Tribunal fédéral</w:t>
      </w:r>
    </w:p>
    <w:p>
      <w:r>
        <w:t>- 29 - applicable en matière de syndromes sans pathogenèse ni étiologie claires et sans constat de déficit organique. Toutefois, l’appréciation de ce médecin, qui n’est au demeurant pas psychiatre, est extrêmement sommaire et ne saurait être jugée suffisante au regard de la jurisprudence en la matière. Par ailleurs, malgré l’appréciation du Dr Y.________, psychiatre de la recourante, selon lequel cette dernière souffre de diverses pathologies sur le plan psychique – dont notamment un trouble dépressif récurrent qualifié de sévère et de trouble anxieux -, ce volet n’a fait l’objet d’aucune investigation de la part de l’OAI. Les conclusions pour le moins succinctes de la Dresse Q.________, qui n’est du reste pas psychiatre mais pédiatre, s’agissant du trouble dépressif récurrent, ne permettent pas de considérer que le plan psychiatrique a été suffisamment instruit. En réalité, l’OAI n’a investigué la problématique médicale de la recourante et n’a déterminé sa capacité de travail exigible que sous l’angle rhumatologique, ce qui n’est toutefois pas suffisant au vu du tableau clinique complexe présenté par W.________ (cf. consid. 6b précité). Ainsi, l’OAI a statué sur la base d’un dossier médical lacunaire, se fondant sur des données incomplètes, tant sur le plan psychique que sur le plan somatique. De ce fait, ni l’état de santé de la recourante dans sa globalité, ni les conséquences de cet état sur sa capacité de travail n’ont été établis à satisfaction de droit. Le recours est par conséquent bien fondé. 7. a)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ATF 137 V 210 ; cf. aussi la note de Bettina Kahil-Wolff in : JdT 2011 I 215 à propos de cet arrêt). Un renvoi à l’administration est possible lorsqu’il convient de trancher une question qui n’a jusqu’alors fait l’objet</w:t>
      </w:r>
    </w:p>
    <w:p>
      <w:r>
        <w:t>- 30 - d’aucun éclaircissement ou lorsqu’il s’agit d’obtenir une clarification, une précision ou un complément quant à l’avis des experts interpellés par l’autorité administrative (ATF 137 V 210 consid. 4.4.1.4 et 4.4.1.5). Tel est le cas en l'espèce. b) Au vu de ces éléments il convient donc d’admettre le recours, de renvoyer le dossier à l’OAI afin qu’il mette en œuvre une expertise et qu’il rende une nouvelle décision. Dans la mesure où l’instruction médicale réalisée par l’intimé est lacunaire tant sur le plan psychique que sur le plan somatique, une expertise limitée au volet psychique n’est pas suffisante, contrairement à ce que soutient l’OAI. Cette expertise devra bien plutôt comprendre au moins un volet de médecine interne, de rhumatologie et de psychiatrie, étant réservé la faculté de l’OAI d’y associer, cas échéant, toute autre spécialité jugée opportune. Elle devra en particulier se prononcer sur la problématique de la fibromyalgie et de ses répercussions sur la capacité de travail de W.________ conformément aux nouveaux critères jurisprudentiels. Elle devra également éclaircir les différentes pathologies présentées par la recourante et leurs interactions éventuelles. c) Par ailleurs, il sied de rappeler ici que l'art. 72bis RAI (règlement fédéral du 17 janvier 1961 sur l'assurance-invalidité ; RS 831.201) a été introduit à la suite de la publication de I'ATF 137 V 210 qui a apporté de nombreux correctifs à la procédure administrative, en particulier en ce qui concerne la désignation des experts. Cette disposition prévoit l'attribution aléatoire des mandats d'expertises pluridisciplinaires comprenant au moins trois disciplines différentes à des centres d'expertise liés à l'Office fédéral des assurances sociales (OFAS) par une convention. A l'invitation du Tribunal fédéral, l'OFAS a également mis en place à la suite de cet arrêt une plate-forme (SuisseMED@P) destinée aux offices Al pour l'attribution sur une base aléatoire des mandats d'expertise médicale pluridisciplinaire (ATF 139 V 496). Chargés de l'exécution de tâches de droit public, les offices Al ne sauraient dès lors faire fi des exigences légales et jurisprudentielles auxquelles ils sont tenus de se conformer. Dans le contexte d’un renvoi de la cause à l’OAI pour la mise en œuvre</w:t>
      </w:r>
    </w:p>
    <w:p>
      <w:r>
        <w:t>- 31 - d’une expertise pluridisciplinaire, la proposition de noms d'expert par la recourante n'est dès lors pas pertinente. 8. a) En dérogation à l'art. 61 let. a LPGA, la procédure de recours en matière de contestations portant sur l'octroi ou le refus de prestations de l'AI devant le tribunal cantonal des assurances est soumise à des frais judiciaires (art. 69 al. 1bis LAI). Ceux-ci, arrêtés à 400 fr. (art. 69 al. 1bis LAI), sont mis à la charge de l’intimé, qui succombe. b) Obtenant gain de cause, la recourante, assistée d'un conseil, a droit à des dépens qu'il y a lieu de fixer à 2'000 fr., débours et TVA compris, et qui doivent être mis à la charge de l'OAI. Au vu de l'importance et de la complexité du litige, le montant de 2'000 fr. couvre largement l'indemnité d'office qui aurait été allouée à Me Bercher. Il n'y a dès lors pas lieu de lui octroyer un montant supplémentaire.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