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ZD17.022853 vom 20. Dezember 2017</w:t>
      </w:r>
    </w:p>
    <w:p>
      <w:r>
        <w:t>VD Tribunal cantonal, 2017-12-20, FR</w:t>
      </w:r>
    </w:p>
    <w:p>
      <w:r>
        <w:rPr>
          <w:b/>
        </w:rPr>
        <w:t xml:space="preserve">Quelle: </w:t>
      </w:r>
      <w:r>
        <w:t>https://mcp.opencaselaw.ch/entscheid/vd_gerichte_ZD17.022853</w:t>
      </w:r>
    </w:p>
    <w:p>
      <w:r>
        <w:t>FR: VD_GERICHTE ZD17.022853 du 20 décembre 2017</w:t>
      </w:r>
    </w:p>
    <w:p>
      <w:r>
        <w:t>IT: VD_GERICHTE ZD17.022853 del 20 dicembre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RS 831.20]). Les décisions sur opposition et</w:t>
      </w:r>
    </w:p>
    <w:p>
      <w:r>
        <w:t>- 7 -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Le litige porte sur le droit de la recourante à des prestations de l’assurance-invalidité, plus particulièrement sur la question de sa capacité résiduelle de travail.</w:t>
      </w:r>
    </w:p>
    <w:p>
      <w:r>
        <w:rPr>
          <w:b/>
        </w:rPr>
        <w:t>E. 3</w:t>
      </w:r>
    </w:p>
    <w:p>
      <w:r>
        <w:t>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w:t>
      </w:r>
    </w:p>
    <w:p>
      <w:r>
        <w:t>- 8 -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4</w:t>
      </w:r>
    </w:p>
    <w:p>
      <w:r>
        <w:t>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 TF 9C_168/2007 du 8 janvier 2008 consid. 4.2).</w:t>
      </w:r>
    </w:p>
    <w:p>
      <w:r>
        <w:rPr>
          <w:b/>
        </w:rPr>
        <w:t>E. 5</w:t>
      </w:r>
    </w:p>
    <w:p>
      <w:r>
        <w:t>Dans le domaine des assurances sociales, le juge fonde sa décision, sauf dispositions contraires de la loi, sur les faits qui, faute d'être</w:t>
      </w:r>
    </w:p>
    <w:p>
      <w:r>
        <w:t>- 9 -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w:t>
      </w:r>
    </w:p>
    <w:p>
      <w:r>
        <w:rPr>
          <w:b/>
        </w:rPr>
        <w:t>E. 6</w:t>
      </w:r>
    </w:p>
    <w:p>
      <w:r>
        <w:t>Il n’est en l’espèce pas contesté que la recourante présente des troubles respiratoires ayant une influence sur sa capacité de travail. Les médecins traitants sont unanimes quant au diagnostic d’asthme polyallergique avec syndrome obstructif de degré moyen. Cette atteinte entraîne certes des limitations fonctionnelles, mais aucun médecin n’atteste d’incapacité de travail ou de baisse de rendement dans une activité adaptée. En particulier, la Dresse A.________ a retenu que la recourante pouvait être limitée dans sa capacité à monter des escaliers et en termes de résistance et devait éviter l’exposition aux produits de nettoyage, aux poudres, à la poussière, au soleil et au froid. La seule incapacité que ce médecin a attestée n’a toutefois duré que du 1er avril au 30 juin 2016. Le Dr V.________ n’a, quant à lui, attesté aucune incapacité de travail. Il a retenu une limitation pour les activités physiques et l’exposition à des produits irritatifs, observant expressément que la capacité de travail et le rendement n’étaient pas réduits, sous réserve que la recourante ne soit pas exposée à de tels produits. Au vu de ces</w:t>
      </w:r>
    </w:p>
    <w:p>
      <w:r>
        <w:t>- 10 - éléments, il n’y a pas lieu de s’écarter du point de vue du SMR, selon lequel l’activité habituelle d’aide-soignante n’est plus exigible en raison de la dyspnée induite par le syndrome obstructif et l’exposition inévitable à des produits de nettoyage, mais que la capacité de travail est en revanche entière dans une activité adaptée aux limitations fonctionnelles. Les rapports produits par la recourante lors de la procédure de recours ne justifient pas de s’écarter de ce point de vue. Le Dr V.________ n’atteste pas d’une atteinte plus sévère que dans son premier rapport et les autres documents concernent des atteintes dont il n’a jamais été fait mention qu’elles auraient une quelconque influence sur la capacité de travail (anosmie, rhinite crouteuse et dermatite atopique photo aggravée avec chéilite). L’intimé ayant interrogé les médecins traitants de la recourante, lesquels ont donné un avis clair et unanime, de plus amples mesures d’instruction ne se justifiaient pas. De telles mesures ne se justifient pas plus au stade de la procédure de recours, dès lors que la recourante n’a amené aucun élément permettant de remettre en doute l’appréciation médicale retenue en procédure administrative.</w:t>
      </w:r>
    </w:p>
    <w:p>
      <w:r>
        <w:rPr>
          <w:b/>
        </w:rPr>
        <w:t>E. 7</w:t>
      </w:r>
    </w:p>
    <w:p>
      <w:r>
        <w:t>Il convient ensuite d’examiner si l’exercice d’une activité adaptée aux limitations fonctionnelles est exigible.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w:t>
      </w:r>
    </w:p>
    <w:p>
      <w:r>
        <w:t>- 11 -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b) Sur le plan personnel et professionnel, la mise en valeur de la capacité résiduelle de travail dans une activité adaptée apparaît exigible. Si les restrictions induites par ses limitations fonctionnelles, les difficultés linguistiques et son éloignement prolongé du marché du travail peuvent limiter dans une certaine mesure les possibilités de la recourante de retrouver un emploi, on ne saurait considérer qu'ils rendent cette perspective illusoire. Abstraction faite de l’activité d’aide-soignante, le marché du travail offre un large éventail d'activités légères, dont on doit convenir qu'un certain nombre sont adaptées aux limitations de la recourante et accessibles sans aucune formation particulière.</w:t>
      </w:r>
    </w:p>
    <w:p>
      <w:r>
        <w:rPr>
          <w:b/>
        </w:rPr>
        <w:t>E. 8</w:t>
      </w:r>
    </w:p>
    <w:p>
      <w:r>
        <w:t>a) Concernant le degré d’invalidité, il est rappelé que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w:t>
      </w:r>
    </w:p>
    <w:p>
      <w:r>
        <w:t>- 12 -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 invalidité (ATF 129 V 222 consid. 4.1 ; 128 V 174).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 ATF 129 V 472 consid. 4.2.1). On se réfère alors à la statistique des salaires bruts standardisés, en se fondant toujours sur la médiane ou valeur centrale (ATF 124 V 321 consid. 3b/bb).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 A défaut de disposer de renseignements concrets fiables sur ce gain au moment de la décision administrative litigieuse, la jurisprudence considère que le revenu hypothétique peut être évalué sur la base de l’ESS (ATF 126 V 75 consid. 3b/aa et bb ; TFA I 37/2004 du 13 janvier 2005 consid. 5.1.3 et I 138/2004 du 20 janvier 2005 consid. 4.2.4). b) La recourante n’a pas contesté la méthode choisie et le calcul du degré d’invalidité effectué par l’intimé. Vérifiés d’office, il</w:t>
      </w:r>
    </w:p>
    <w:p>
      <w:r>
        <w:t>- 13 - apparaît qu’ils ne prêtent pas flanc à la critique. Il se justifiait en particulier de déterminer le revenu sans invalidité sur la base de l’ESS, dès lors que la recourante n’a jamais travaillé en Suisse. Au vu de la formation de l’intéressée et de la nature des limitations fonctionnelles, c’est à raison que l’intimé s’est fondé sur le salaire auquel peuvent prétendre les femmes effectuant des tâches physiques ou manuelles simples dans le secteur privé pour déterminer tant le revenu sans invalidité que le revenu avec invalidité. Par ailleurs, le taux d’abattement de 10 % tient suffisamment compte des limitations fonctionnelles de la recourante, les autres critères tels que le manque de formation et les difficultés de français n’étant pas des critères déterminants au sens de la jurisprudence (ATF 126 V 75 consid. 5b/aa-cc). Ainsi, le degré d’invalidité retenu par l’intimé, soit 10 %, peut être confirmé. Ce taux étant inférieur au seuil des 40 % ouvrant le droit à une rente, c’est à juste titre que l’intimé a nié le droit à cette prestation, de même que le droit à des mesures d’ordre professionnel, le seuil minimum fixé par la jurisprudence pour ouvrir droit à une mesure de reclassement étant une diminution de la capacité de gain de 20 % environ (ATF 139 V 399 consid. 5.3).</w:t>
      </w:r>
    </w:p>
    <w:p>
      <w:r>
        <w:rPr>
          <w:b/>
        </w:rPr>
        <w:t>E. 9</w:t>
      </w:r>
    </w:p>
    <w:p>
      <w:r>
        <w:t>a) Compte tenu de ce qui précède, le recours doit être rejeté et la décision entreprise confirmée.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de les arrêter à 400 fr. et de les mettre à charge de la recourante, qui succombe (art. 49 al. 1 LPA-VD, applicable par renvoi des art. 91 et 99 LPA-VD). Toutefois, dès lors que cette dernière a été mise au bénéfice de l'assistance judiciaire, par décision du 14 juin 2017, ces frais sont laissés provisoirement à la charge de l'Etat, la recourante étant rendue attentive au fait qu'elle est tenue d'en rembourser le montant dès</w:t>
      </w:r>
    </w:p>
    <w:p>
      <w:r>
        <w:t>- 14 - qu’elle sera en mesure de le faire (art. 123 al. 1 CPC [code de procédure civile ; RS 272]). c) Enfin, au vu de l’issue du litige, la recourante, qui n’est au demeurant pas assistée par un mandataire professionnel, ne peut prétendre à l’allocation de dépens en sa faveur (art. 61 let. g LPG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