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ZD17.021784 vom 25. Mai 2018</w:t>
      </w:r>
    </w:p>
    <w:p>
      <w:r>
        <w:t>VD Tribunal cantonal, 2018-05-25, FR</w:t>
      </w:r>
    </w:p>
    <w:p>
      <w:r>
        <w:rPr>
          <w:b/>
        </w:rPr>
        <w:t xml:space="preserve">Quelle: </w:t>
      </w:r>
      <w:r>
        <w:t>https://mcp.opencaselaw.ch/entscheid/vd_gerichte_ZD17.021784</w:t>
      </w:r>
    </w:p>
    <w:p>
      <w:r>
        <w:t>FR: VD_GERICHTE ZD17.021784 du 25 mai 2018</w:t>
      </w:r>
    </w:p>
    <w:p>
      <w:r>
        <w:t>IT: VD_GERICHTE ZD17.021784 del 25 maggio 2018</w:t>
      </w:r>
    </w:p>
    <w:p>
      <w:pPr>
        <w:pStyle w:val="Heading2"/>
      </w:pPr>
      <w:r>
        <w:t>Erwägungen</w:t>
      </w:r>
    </w:p>
    <w:p>
      <w:r>
        <w:rPr>
          <w:b/>
        </w:rPr>
        <w:t>E. 1</w:t>
      </w:r>
    </w:p>
    <w:p>
      <w:r>
        <w:t>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b) En l’espèce, interjeté dans le respect du délai légal et des autres conditions de forme (art. 61 let. b LPGA notamment), le recours est recevable. Il y a donc lieu d’entrer en matière.</w:t>
      </w:r>
    </w:p>
    <w:p>
      <w:r>
        <w:rPr>
          <w:b/>
        </w:rPr>
        <w:t>E. 2</w:t>
      </w:r>
    </w:p>
    <w:p>
      <w:r>
        <w:t>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w:t>
      </w:r>
    </w:p>
    <w:p>
      <w:r>
        <w:t>- 24 - critiqués, exception faite lorsque les points non critiqués ont des liens étroits avec la question litigieuse (ATF 131 V 164 et 125 V 413 consid. 2c). b) Est litigieux dans le cas d’espèce le droit du recourant à des prestations de l’assurance-invalidité, en particulier son droit à une rente d’invalidité postérieurement au 1er septembre 2014. Il s’agit en définitive de déterminer si les atteintes, constitutives d’un nouveau cas d’assurance à l’origine de la seconde demande de prestations AI formulée par l’assuré, sont susceptibles de limiter sa capacité de travail et de gain (cf. s’agissant de la question de la survenance d’un nouveau cas d’assurance : ATF 136 V 369 consid. 3.1 ; TF 9C_36/2015 du 29 avril 2015 consid. 5.1 et 5.2). c) En tout état de cause, on rappellera à ce stade que l’évaluation de l’invalidité par les organes de l’assurance-accident n’a pas de force contraignante pour l’assurance-invalidité (ATF 133 V 549, confirmant l’ATF 126 V 288) et que les organes de ces deux assurances sont tenus de procéder dans chaque cas et de manière indépendante à l’évaluation de l’invalidité, les uns ou les autres ne pouvant se contenter de reprendre simplement et sans avoir effectué leur propre examen le degré d’invalidité fixé par l’autre assureur (TF 9C_813/2012 du 18 mars 2013 consid. 3.4 et les références citées).</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w:t>
      </w:r>
    </w:p>
    <w:p>
      <w:r>
        <w:t>- 26 - raisonnablement exigible de la part de la personne assurée (ATF 125 V 256 consid. 4 ; 115 V 133 consid. 2 ; 114 V 310 consid. 3c ; 105 V 156 consid. 1 ; TF I 562/06 du 25 juillet 2007 consid. 2.1 et TFA I 274/05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c)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w:t>
      </w:r>
    </w:p>
    <w:p>
      <w:r>
        <w:t>- 27 - 125 V 351 consid. 3b/cc et réf. cit.; Pratique VSI 2001 p. 106, consid. 3b/cc). d) En ce qui concerne les rapports des médecins des assureurs, ceux-ci peuvent également se voir reconnaître une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w:t>
      </w:r>
    </w:p>
    <w:p>
      <w:r>
        <w:t>- 28 -</w:t>
      </w:r>
    </w:p>
    <w:p>
      <w:r>
        <w:rPr>
          <w:b/>
        </w:rPr>
        <w:t>E. 6</w:t>
      </w:r>
    </w:p>
    <w:p>
      <w:r>
        <w:t>a) En l’espèce, le recourant conteste l’appréciation de la situation médicale telle que réalisée par l’OAI, considérant en particulier que le SMR n’a pas analysé les diverses pathologies dont il souffre. b) Il ressort du dossier de la cause que le recourant présente de nombreux troubles, tant sur le plan physique que sur le plan psychique. Selon le Dr T.________, rhumatologue et médecin auprès du SMR, il souffre de syndrome douloureux chronique de la main droite. Si ces atteintes sont incapacitantes dans le cadre de l’activité habituelle du recourant, le Dr T.________ a revanche considéré que l’intéressé pouvait exercer une activité adaptée à ses limitations fonctionnelles, soit une activité mono- manuelle (gauche) avec utilisation de la main droite comme appui n’excédant pas une force de 2kg et semi-sédentaire permettant l’alternance des positions au gré de l’assuré. Il souffre également d’un syndrome lombovertébral récurrent chronique sans signe radiculaire irritatif ou déficitaire, de cervicobrachialgies, de gonalgies bilatérales sans signes méniscaux et d’omalgies droites. Selon le SMR, ces atteintes n’ont toutefois pas de répercussion sur la capacité de travail du recourant. Le Dr Z.________, spécialiste en psychiatrie et psychothérapie auprès du SMR, pose quant à lui les diagnostics sans effet sur la capacité de travail de trouble somatoforme douloureux persistant et de trouble anxieux et dépressif mixte secondaire à l’accident et aux limitations physiques (cf. rapport d’expertise du 3 août 2015). c) S’agissant tout d’abord de la problématique du trouble somatoforme douloureux, il convient préalablement de rappeler ce qui suit. 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w:t>
      </w:r>
    </w:p>
    <w:p>
      <w:r>
        <w:t>- 29 - 14 avril 2008), l’anesthésie dissociative et les atteintes sensorielles (TF I 9/07 du 9 février 2007 consid. 4, in SVR 2007 IV no 45 p. 149) ou encore les troubles moteurs dissociatifs (TF 9C_903/2007 du 30 avril 2008 consid. 3.4). bb) Dans les cas de troubles somatoformes douloureux, il existait, jusqu’à l’arrêt rendu le 3 juin 2015 par le Tribunal fédéral en la cause 9C_492/2014 publié aux ATF 141 V 281, une présomption selon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w:t>
      </w:r>
    </w:p>
    <w:p>
      <w:r>
        <w:t>- 30 -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cf. notamment TF 9C_547/2008 du 19 juin 2009 consid. 2.2 et réf. cit.). cc)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w:t>
      </w:r>
    </w:p>
    <w:p>
      <w:r>
        <w:t>- 31 - « plainte essentielle », une « douleur persistante, intense, s’accompagnant d’un sentiment de détresse ». En outre, ce trouble assure habituellement au patient une aide et une sollicitude accrues de la part de l’entourage et des médecins (cf. ch. F45.40 de la CIM [Classification internationale des maladies] 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w:t>
      </w:r>
    </w:p>
    <w:p>
      <w:r>
        <w:t>- 32 -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 Tribunal fédéral a précisé que ce changement de jurisprudence ne justifie pas en soi de retirer toute valeur probante aux expertises rendues à l’aune de l’ancienne jurisprudence. Il y a lieu d’examiner dans chaque cas si les expertises administratives et/ou les</w:t>
      </w:r>
    </w:p>
    <w:p>
      <w:r>
        <w:t>- 33 - expertises judiciaires recueilles, le cas échéant en les mettant en relation avec d’autres rapports médicaux, permettent ou non une appréciation concluante du cas à l’aune des indicateurs déterminants (TAF C- 1916/2015 du 31 mai 2016 et réf. cit.). d) Dans le cas d’espèce, on constate que le diagnostic de trouble somatoforme douloureux a été posé par le Dr K.________ (cf. rapport du 4 décembre 2014) et qu’il a été confirmé par le Dr Z.________, psychiatre, dans le cadre de son examen du 3 août 2015. Toutefois les répercussions de cette atteinte n’ont pas été examinées conformément à l’ATF 141 V 281, malgré la référence expresse du Dr Z.________ à la nouvelle jurisprudence en la matière. On retrouve certes dans l’appréciation de ce praticien, de manière éparse, quelques éléments ressortant de la grille d’analyse du Tribunal fédéral applicable en matière de syndromes sans pathogenèse ni étiologies claires et sans constat de déficit organique, qui ont été reprises par le Dr V.________ dans son avis du 16 février 2016. Toutefois, l’appréciation des médecins est extrêmement sommaire et ne saurait être jugée suffisante au regard de la jurisprudence en la matière. En particulier, le Dr Z.________ se contente d’indiquer que le recourant ne présente pas de pathologie, respectivement de comorbidité psychiatrique incapacitante et qu’il a des ressources psychologiques pour faire face à ses douleurs. En réalité, l’OAI n’a investigué la problématique médicale du recourant et n’a déterminé sa capacité de travail exigible que sous l’angle somatique/rhumatologique, ce qui n’est toutefois pas suffisant au vu du tableau clinique complexe présente par l’intéressé (cf. consid. 6b précité). Ainsi, l’office intimé a statué sur la base d’un dossier médical lacunaire, se fondant sur des données incomplètes, à tout le moins sur le plan psychique. Par conséquent, ni l’état de santé du recourant dans sa globalité, ni les conséquences de cet état sur sa capacité de travail n’ont été établis à satisfaction de droit. Le recours est par conséquent bien fondé.</w:t>
      </w:r>
    </w:p>
    <w:p>
      <w:r>
        <w:t>- 34 -</w:t>
      </w:r>
    </w:p>
    <w:p>
      <w:r>
        <w:rPr>
          <w:b/>
        </w:rPr>
        <w:t>E. 7</w:t>
      </w:r>
    </w:p>
    <w:p>
      <w:r>
        <w:t>a)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b) Au vu de ces éléments, il convient donc d’admettre le recours, de renvoyer le dossier à l’OAI afin qu’il mette en œuvre une expertise contenant au moins un volet rhumatologique et un volet psychiatrique, - étant réservé la faculté de l’OAI d’y associer, cas échéant, toute autre spécialisé jugée opportune – et qu’il rende une nouvelle décision. Cette expertise devra en particulier se prononcer sur la problématique du trouble somatoforme douloureux et de ses répercussions sur la capacité de travail de L.________ conformément aux nouveaux critères jurisprudentiels. Elle devra également mettre en lumière les différentes pathologies présentées par le recourant et leurs éventuelles interactions.</w:t>
      </w:r>
    </w:p>
    <w:p>
      <w:r>
        <w:rPr>
          <w:b/>
        </w:rPr>
        <w:t>E. 8</w:t>
      </w:r>
    </w:p>
    <w:p>
      <w:r>
        <w:t>a) Le recours est par conséquent admis, la décision attaquée étant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l’OAI qui succombe (art. 49 al. 1 LPA-VD).</w:t>
      </w:r>
    </w:p>
    <w:p>
      <w:r>
        <w:t>- 35 - c) Ayant obtenu gain de cause avec l’assistance d’un mandataire professionnel, le recourant a droit à des dépens (art. 55 LPA- VD et art. 61 let. g LPGA), Le montant de ces derniers est déterminé, sans égard à la valeur litigieuse, d’après l’importance et la complexité du litige. Il convient de les fixer en l'occurrence à 2'500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