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ZD17.021775 vom 13. August 2018</w:t>
      </w:r>
    </w:p>
    <w:p>
      <w:r>
        <w:t>VD Tribunal cantonal, 2018-08-13, FR</w:t>
      </w:r>
    </w:p>
    <w:p>
      <w:r>
        <w:rPr>
          <w:b/>
        </w:rPr>
        <w:t xml:space="preserve">Quelle: </w:t>
      </w:r>
      <w:r>
        <w:t>https://mcp.opencaselaw.ch/entscheid/vd_gerichte_ZD17.021775</w:t>
      </w:r>
    </w:p>
    <w:p>
      <w:r>
        <w:t>FR: VD_GERICHTE ZD17.021775 du 13 août 2018</w:t>
      </w:r>
    </w:p>
    <w:p>
      <w:r>
        <w:t>IT: VD_GERICHTE ZD17.021775 del 13 agosto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Les délais fixés par la loi ne courent pas du 7e jour avant Pâques au 7e jour après Pâques inclusivement (art. 38 al. 4 let. a LPGA). b) Selon l'art. 93 let. a LPA-VD (loi cantonale vaudoise du 28 octobre 2008 sur la procédure administrative ; RSV 173.36), qui s’applique aux recours et contestations par voie d’action dans le domaine des assurances sociales (art. 2 al. 1 let. c LPA-VD), la Cour des assurances sociales du Tribunal cantonal, composée de trois magistrats (art. 94 al. 4 LPA-VD), est compétente pour statuer. Le recours, formé en temps utile, compte tenu des féries pascales, devant l’autorité compétente et dans le respect des règles de forme prévues par la loi (art. 61 let. b LPGA notamment), est recevable.</w:t>
      </w:r>
    </w:p>
    <w:p>
      <w:r>
        <w:rPr>
          <w:b/>
        </w:rPr>
        <w:t>E. 2</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w:t>
      </w:r>
    </w:p>
    <w:p>
      <w:r>
        <w:t>- 11 -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Pour la comparaison des revenus, est réputé revenu, le revenu présumable sur lequel des cotisations AVS seraient perçues (art. 25 al. 1 RAI [règlement du 17 janvier 1961 sur l’assurance-invalidité ; RS 831.201]). Ne font pas partie du revenu déterminant les frais accessoires au salaire qui sont à la charge de l’employeur et qui ne sont pas soumis aux cotisations AVS. Il en va de même des allocations familiales et des remboursements de frais qui ne sont pas compris dans la notion de revenu d’une activité lucrative au sens de l’AVS (TF U 272/04 du 7 juillet 2005 consid. 6.1).</w:t>
      </w:r>
    </w:p>
    <w:p>
      <w:r>
        <w:t>- 12 - Le fait que l’art. 25 al. 1 RAI assimile les revenus à comparer aux revenus au sens de l’AVS a également pour conséquence qu’il y a en principe lieu de se fonder sur les inscriptions figurant sur le compte individuel AVS (CI) de l’assuré lorsque le revenu n’est pas établi de manière transparente. Il conviendra dès lors de se fonder sur les revenus inscrits au CI à moins que l’on puisse établir qu’ils ne correspondent pas à la réalité, qu’ils sont inexacts ou qu’ils ont subi de fortes variations durant plusieurs années (Michel Valterio, Droit de l’assurance-vieillesse et survivants et de l’assurance-invalidité, Genève-Zurich-Bâle 2011, n. 2067, p. 549).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132 V 93 consid. 4, 125 V 256 consid. 4 et 115 V 133 consid. 2 ; cf. TF 9C_107/2017 du 8 septembre 2017 consid. 5.1). Il appartient au juge des assurances sociales d'examiner de manière objective tous les moyens de preuve, quelle qu'en soit la provenance, puis de décider si les documents à disposition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w:t>
      </w:r>
    </w:p>
    <w:p>
      <w:r>
        <w:t>- 13 - connaissance de l'anamnèse, que la description du contexte médical et l'appréciation de la situation médicale soient claires et enfin que les conclusions de l'expert soient dûment motivées (cf. ATF 134 V 231 consid. 5.1 et 125 V 351 consid. 3a). d) Le taux d’invalidité doit être déterminé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2016 (cf. pour un cas d’application : TF 8C_515/2013 du 14 avril 2014 spéc. consid. 4.2 ; cf. également TF I 700/05 du 12 janvier 2007 consid. 8 et TFA I 621/04 du 12 octobre 2005 consid. 5.1 concernant le cas d'une rente temporaire). e)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(cf. ATF 129 V 222 consid. 4.3.1).</w:t>
      </w:r>
    </w:p>
    <w:p>
      <w:r>
        <w:t>- 14 - f)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(cf. ATF 135 V 297 consid. 5.2, 129 V 472 consid. 4.2.1 et 126 V 76 consid. 3a/bb ; cf.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(cf. ATF 124 V 321 consid. 3b/bb ; cf.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 cf. TF 9C_35/2015 du 19 août 2015 consid. 4.1 et 9C_297/2011 du 31 janvier 2012 consid. 4.1.2).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w:t>
      </w:r>
    </w:p>
    <w:p>
      <w:r>
        <w:t>- 15 -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(cf. ATF 137 V 71 consid. 5.2 et 126 V 75 consid. 6 ; cf. TF 9C_637/2014 du 6 mai 2015 consid. 4.2).</w:t>
      </w:r>
    </w:p>
    <w:p>
      <w:r>
        <w:rPr>
          <w:b/>
        </w:rPr>
        <w:t>E. 3</w:t>
      </w:r>
    </w:p>
    <w:p>
      <w:r>
        <w:t>a) En l’occurrence, le recourant ne conteste pas que sa capacité de travail est entière dans une activité adaptée à ses limitations fonctionnelles. Au demeurant, les constatations et conclusions de la Clinique R.________ sont convaincantes et ne sont infirmées de manière probante par aucun autre rapport médical. Par ailleurs, aucun certificat médical n’a été fourni par l’assuré au-delà du 31 décembre 2016. Ce n’est qu’au mois de juillet 2018 que le recourant a produit un nouveau certificat attestant une incapacité de travail totale de juillet à septembre 2018. Il s’ensuit que le recourant présente une capacité de travail totale dans une activité adaptée respectant ses limitations fonctionnelles (accroupissement, activités contraignantes pour les genoux, équilibre et port de charge limité à un niveau moyen, soit 15-25 kg). b) Le recourant conteste uniquement le calcul du taux d’invalidité, en particulier le revenu sans invalidité et le taux d’abattement retenu pour déterminer le revenu d’invalide. Le recourant fait valoir qu’il faut reconnaître sa formation secondaire et universitaire qu’il a mise en valeur dans la mesure où il était chef de chantier auprès de l’entreprise X.________SA. En ce qui concerne le revenu sans invalidité, le recourant estime que c’est à tort que l’OAI se réfère à un salaire sans invalidité de 76'332 fr. 45 au motif que ce montant aurait, d'une part, été retenu par le F.________ dans son calcul du taux d'invalidité et, d'autre part, correspondrait à la moyenne des revenus prétendument perçus par le recourant entre 2009 et 2014 auprès de l'entreprise X.________SA. Selon le recourant, la moyenne des CI pour les deux dernières années avant</w:t>
      </w:r>
    </w:p>
    <w:p>
      <w:r>
        <w:t>- 16 - l'atteinte à la santé, soit pour 2013 et 2014, donne un revenu moyen de 81'665 francs. De plus, les salaires retenus par l'OAI ne correspondraient pas non plus aux résumés de salaire ressortant du rapport de l'employeur, le salaire brut de 2013 étant de 90'528 fr. et le salaire pour 2014 étant de 82'262 fr. 64. Il relève encore que l'OAI n'a pas tenu compte de l'évolution des salaires jusqu'au moment de la naissance du droit à la rente, soit 2016, en tant qu'il n'a pas procédé à l'indexation de ce montant. Il s’ensuit que les revenus du recourant seraient bien supérieurs à ceux retenus par l'OAI et se détermineraient comme il suit : « - pour 2009: salaire annuel brut de CHF 89'411.05 (avec allocations enfants), salaire annuel brut de CHF 79'571.05 (sans allocations enfants), salaire annuel net de CHF 76'926.30 ; - pour 2010: salaire annuel brut de CHF 88'736.40 (avec allocations enfants), salaire annuel brut de CHF 78'896.40 (sans allocations enfants), salaire annuel net de CHF 76'238.85 ; - pour 2011: salaire annuel brut de CHF 83'281.30 (avec allocations enfants), salaire annuel brut de CHF 73'441.30 (sans allocations enfants), salaire annuel net de CHF 72'081.35 ; - pour 2012: salaire annuel brut de CHF 85'734 fr. 45 (avec allocations enfants), salaire annuel brut de CHF 75'854.45 (sans allocations enfants) salaire annuel net de CHF 73'870.65 ; - pour 2013: salaire annuel brut de CHF 101'258.30 (avec allocations enfants), salaire annuel brut de CHF 90'528.30 (sans allocations enfants), salaire annuel net de CHF 88'511.25 ; - pour 2014: salaire annuel brut de CHF 95'101.65 (avec allocations enfants), salaire annuel brut de CHF 86'961.65 (sans allocations enfants), salaire annuel net de CHF 82'058. ». Ainsi, le recourant allègue que, même s'il l'on devait effectuer une moyenne des revenus annuels bruts perçus entre 2009 et 2014 comme l’a fait l'OAI, l’on parviendrait à un montant de 90'587 fr. 20 (avec allocations enfants) et de 80'875 fr. 55 (sans allocations enfants). Si, en revanche, on s’en tenait à la jurisprudence, il y aurait lieu de se reporter à la moyenne des salaires des deux dernières années, ce qui correspondrait à 98'180 fr., laquelle devrait encore être indexée à 2016. S'agissant finalement du taux d'abattement, le recourant soutient qu’il doit être fixé à 15 % pour tenir compte à la fois des limitations en raison de sa santé, de son âge et de sa nationalité. Il s’ensuit que le taux d'invalidité de 20%</w:t>
      </w:r>
    </w:p>
    <w:p>
      <w:r>
        <w:t>- 17 - serait de toute manière atteint, ce qui lui ouvrirait un droit au reclassement.</w:t>
      </w:r>
    </w:p>
    <w:p>
      <w:r>
        <w:rPr>
          <w:b/>
        </w:rPr>
        <w:t>E. 4</w:t>
      </w:r>
    </w:p>
    <w:p>
      <w:r>
        <w:t>a) Tout d'abord, l’assuré fait valoir qu’il est au bénéfice d'une formation secondaire et supérieure (formation de technicien d’usine et études en lettres à l'université de [...]) effectuée au [...]. Or, l’assuré est en Suisse depuis 1981 et il n'a jamais mis en valeur cette formation. Il a toujours travaillé dans des postes non qualifiés. Au moment de l'atteinte, il exerçait un emploi comme étancheur, sans CFC, chez X.________SA, comme cela ressort du questionnaire d’employeur. L'information indiquant qu’il aurait pu commencer, sans son atteinte à la santé, un emploi de chef de chantier, repose uniquement sur ses dires lors de l'entretien de détection précoce. Il ressort par ailleurs du dossier de la CNA (cf. rapport de la Clinique R.________ du 27 avril 2016) qu’il s’agit d’un souhait pour sa préretraite afin de limiter les activités lourdes d’étancheur. En réalité, l’assuré avait été licencié en raison de son comportement inadéquat avant son accident. Le rapport d’employeur du 6 juin 2016 signale que l'assuré présentait un «refus d'ordre» et une «insubordination». Dès lors, cela remet fortement en question le fait qu'il aurait été promu chef de chantier et même qu’il était chef d'équipe comme il le prétend. En effet, son employeur a déclaré qu’il travaillait comme étancheur et non comme chef d’équipe et lui-même avait expliqué aux spécialistes de la Clinique R.________ qu’il travaillait comme étancheur sans les aides mécaniques auxquelles peuvent prétendre habituellement les autres étancheurs (grue ou monte-charge), raison pour laquelle il recherchait un poste de travail limitant quelque peu l’activité physique. En résumé, aucun élément ne permet d'extrapoler le fait que l'assuré aurait pu mettre en valeur un revenu supérieur à celui qu'il a réellement perçu. b) En ce qui concerne le revenu sans invalidité retenu par l’OAI, on constate que les revenus du recourant étaient fluctuants d'une année à l'autre selon des primes reçues ponctuellement, raison pour laquelle une moyenne des Cl a été établie depuis 2009, ce qui n’est pas critiquable. L'année 2008 n’a, à juste titre, pas été prise en compte, car l'assuré n'avait pas travaillé l'année complète. L’année 2015, durant</w:t>
      </w:r>
    </w:p>
    <w:p>
      <w:r>
        <w:t>- 18 - laquelle l'assuré était déjà atteint dans sa santé, a également été exclue, à bon escient, de la moyenne. L’OAI a basé le revenu sans invalidité sur le chiffre de 76'332 fr. 45, soit le salaire retenu par le F.________, assureur- maladie perte de gain. L’intimé explique à cet égard que ce chiffre correspond, à moins de 200 fr. près, à la moyenne des revenus que l'assuré a touchés entre les années 2009 à 2014 auprès de l'entreprise X.________SA. Il paraît toutefois plus correct de tenir compte de la moyenne des revenus de l’assuré durant les années 2009 à 2014, sur la base de son extrait de compte individuel, soit 76'504 fr. 50 (76'668 fr. + 78'896 fr. + 72'285 fr. + 67'848 fr. + 84'003 fr. + 79'327 fr. / 6 = 76'504 fr. 50) et d’indexer ce montant à 2016. En ce qui concerne les revenus allégués par le recourant, on peine à comprendre, faute de détails du calcul, sur quelle base ils se fondent. En effet, les revenus figurant dans les CI correspondent aux salaires versés par l’employeur (cf. les tableaux produits en annexe aux questionnaires d’employeur) et aux décomptes de salaire produits par le recourant. Il s’agit des revenus qui ont permis d’aboutir à la moyenne de 76'504 fr. 50. A cet égard, on rappellera que les revenus figurant dans le CI sont présumés déterminants car il s’agit du revenu sur lequel des cotisations AVS sont perçues (art. 25 al. 1 RAI). De plus, ne font pas partie du revenu déterminant les frais accessoires au salaire qui sont à la charge de l’employeur et qui ne sont pas soumis aux cotisations AVS. Il en va de même des allocations familiales. Pour déterminer le degré d'invalidité du recourant, il convient dès lors de comparer le revenu qu'il aurait pu réaliser en bonne santé, soit 76'504 fr. 50, indexé en 2016, ce qui aboutit à un revenu de 77'117 fr. 76 avec celui auquel il peut prétendre dans une activité adaptée. En l'occurrence, l’OAI s’est à juste titre fondé sur le salaire de référence auquel peuvent prétendre les hommes effectuant des tâches physiques ou manuelles simples dans le secteur privé (production et services), soit en 2014, 5'312 fr. par mois, part au 13ème salaire comprise (ESS, TA1; niveau de compétence 1). Comme les salaires bruts standardisés tiennent compte d'un horaire de travail de quarante heures, soit une durée hebdomadaire</w:t>
      </w:r>
    </w:p>
    <w:p>
      <w:r>
        <w:t>- 19 - inférieure à la moyenne usuelle dans les entreprises en 2016 (41.7 heures ; La Vie économique, tableau B 9.2), ce montant doit être porté à 5'537 fr. 76 (5'312 fr. x 41.7 : 40), ce qui donne un salaire annuel de 66'453 fr. 12. Après adaptation de ce chiffre à l'évolution des salaires nominaux de 2014 à 2015 (+ 0.40% ; La Vie économique, tableau B 10.2) puis de 2015 à 2016 (+0.40%), on obtient un revenu annuel de 66'985 fr. 81 (année d'ouverture du droit à la rente, cf. ATF 128 V 174 consid. 4a). c) Pour ce qui est du taux d'abattement, l’OAI n’a pas retenu d'autre facteur hormis l’âge, si bien qu’il a estimé qu’un abattement de 5 % était justifié. Le recourant fait valoir à cet égard qu’il faudrait également tenir compte de ses limitations fonctionnelles ainsi que de sa nationalité et appliquer un taux de 15%. En ce qui concerne les limitations fonctionnelles de l’assuré, on constate que celles-ci ne sont pas particulièrement sévères. Elles concernent en effet uniquement ses genoux et l’assuré peut encore porter des charges de 15 à 25 kg. Selon la jurisprudence, une déduction pour des limitations doit être accordée en particulier lorsque la capacité de travail de l’assuré est réduite même pour des travaux de manœuvre peu astreignants, ce qui n’est pas le cas en l’occurrence. Si en revanche des travaux peu ou moyennement pénibles sont raisonnablement exigibles, cela seul ne justifie pas une déduction même si la capacité de travail est réduite, car le salaire du barème pour le niveau de compétences 1 comprend déjà de nombreuses activités peu ou moyennement pénibles (cf. TF 9C_187/2011 du 30 mai 2011 consid. 4.2.1 et ch. 3067.3 de la circulaire sur l’invalidité et l’impotence dans l’assurance-invalidité [CIIAI] dans sa teneur en vigueur depuis le 1er janvier 2015). Les prestations de l’assurance-invalidité compensent l'incapacité de gain des assurés résultant d'une atteinte à la santé de sorte que, selon une jurisprudence constante, le manque de formation professionnelle ne peut être considéré comme un des critères déterminants au regard de la nature des activités encore exigibles de la part de l'intéressé (cf. TF 9C_1047/2008 du 7 octobre 2009 consid. 3.4 et</w:t>
      </w:r>
    </w:p>
    <w:p>
      <w:r>
        <w:t>- 20 - la référence). Il en va de même de sa période d'inactivité professionnelle et de sa nationalité. En l'espèce, l'assuré ayant la nationalité suisse depuis 2009, celle-ci n’est pas une entrave à l'exercice d'une activité lucrative sur territoire helvétique (cf. ATF 126 V 75, consid. 3b/aa et bb et 5a). Au surplus, il n’est pas admis de cumuler des déductions quantifiées séparément pour chaque facteur pris en compte, car en opérant de la sorte on ignore les interactions (cf. ATF 126 V 75 ss). Finalement, on relèvera que les spécialistes du Service de réadaptation de la Clinique R.________ ont constaté les très bonnes connaissances orales et écrites du français ainsi que les bonnes ressources de l’assuré, qui leur permettaient de poser un pronostic favorable quant à la reprise d’une activité adaptée. On relèvera finalement que depuis la fin du versement des indemnités journalières perte de gain au 31 décembre 2016 et l’invitation faite par l’assureur-maladie au recourant de s’adresser à l’assurance-chômage, celui-ci n’a pas attesté de nouvelle incapacité de travail avant celle de juillet 2018. Il s’ensuit que l’abattement retenu par l’OAI n’est pas critiquable. En définitive, le revenu annuel d’invalide s’élève à 63'636 fr. 52 après déduction du taux d’abattement de 5%. La comparaison des revenus aboutit à un degré d'invalidité de 17.48 %, ce qui n’ouvre pas le droit à une rente ni à des mesures professionnelles, qui n'ont du reste pas lieu d'être dès lors que l'exercice d'activités ne nécessitant pas de formation particulière est à la portée du recourant, sans qu'un préjudice économique important ne subsiste.</w:t>
      </w:r>
    </w:p>
    <w:p>
      <w:r>
        <w:rPr>
          <w:b/>
        </w:rPr>
        <w:t>E. 5</w:t>
      </w:r>
    </w:p>
    <w:p>
      <w:r>
        <w:t>a) Il résulte de ce qui précède que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1bis LAI). En l'espèce, les frais de justice doivent être arrêtés à 400 fr. et mis à la charge du recourant, qui succombe.</w:t>
      </w:r>
    </w:p>
    <w:p>
      <w:r>
        <w:t>- 21 - Il n'y a pas lieu d'allouer de dépens, le recourant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