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ZD17.020798 vom 11. Dezember 2017</w:t>
      </w:r>
    </w:p>
    <w:p>
      <w:r>
        <w:t>VD Tribunal cantonal, 2017-12-11, FR</w:t>
      </w:r>
    </w:p>
    <w:p>
      <w:r>
        <w:rPr>
          <w:b/>
        </w:rPr>
        <w:t xml:space="preserve">Quelle: </w:t>
      </w:r>
      <w:r>
        <w:t>https://mcp.opencaselaw.ch/entscheid/vd_gerichte_ZD17.020798</w:t>
      </w:r>
    </w:p>
    <w:p>
      <w:r>
        <w:t>FR: VD_GERICHTE ZD17.020798 du 11 décembre 2017</w:t>
      </w:r>
    </w:p>
    <w:p>
      <w:r>
        <w:t>IT: VD_GERICHTE ZD17.020798 del 11 dicembre 2017</w:t>
      </w:r>
    </w:p>
    <w:p>
      <w:pPr>
        <w:pStyle w:val="Heading2"/>
      </w:pPr>
      <w:r>
        <w:t>Erwägungen</w:t>
      </w:r>
    </w:p>
    <w:p>
      <w:r>
        <w:rPr>
          <w:b/>
        </w:rPr>
        <w:t>E. 6</w:t>
      </w:r>
    </w:p>
    <w:p>
      <w:r>
        <w:t>Dans un dernier moyen, la recourante déplore qu’aucun abattement n’ait été opéré par l’intimé sur le revenu d’invalide, relevant à cet égard que son âge et son taux d’occupation justifiaient une réduction supplémentaire dudit revenu au titre de désavantage social. a) Pour évaluer le taux d’invalidité des personnes qui pourraient exercer une activité lucrative,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w:t>
      </w:r>
    </w:p>
    <w:p>
      <w:r>
        <w:t>- 17 - d’invalide). C’est la méthode ordinaire de comparaison des revenus (art. 16 LPGA et 28a al. 1 LAI). La réduction du salaire statistique dans le cadre de la détermination du revenu hypothétique d'invalide prévue par la jurisprudence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 limitations liées au handicap, âge, années de service, nationalité, catégorie d'autorisation de séjour), l'assuré ne peut mettre à profit sa capacité de travail sur le plan économique que dans une mesure inférieure à la moyenne (ATF 126 V 75 consid. 5a/cc ; TF 9C_104/2008 du 15 octobre 2008 consid. 4 et réf. cit.).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126 V 75 consid. 5b/bb ; TF 8C_175/2017 du 30 octobre 2017 consid. 6.2.2 et 8C_883/2015 du 21 octobre 2016 consid. 6.2.1).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(cf. ATF 137</w:t>
      </w:r>
    </w:p>
    <w:p>
      <w:r>
        <w:t>- 18 - V 71 consid. 5.2 et réf. cit.). Enfin, il y a lieu de rappeler que de jurisprudence constante, la déduction globale maximale est limitée à 25 % (cf. ATF 126 V 75 consid. 5b/cc ; notamment TF 8C_175/2017 précité consid. 6.2.2 et 9C_652/2014 du 20 janvier 2015 consid. 3.1 et réf. cit.). b) En l'occurrence, le désavantage lié aux limitations fonctionnelles a déjà été pris en compte dans la baisse de rendement. Quant à l’âge et au temps partiel, on constatera au regard des données chiffrées produites par l’intimé le 23 janvier 2017, dont aucun élément ne justifie de s’écarter, qu’un abattement supplémentaire de 10 % – qui tiendrait ainsi compte de l’âge et du temps partiel – conduirait à un degré d’invalidité de 46 %, taux qui ouvre lui aussi le droit à un quart de rente.</w:t>
      </w:r>
    </w:p>
    <w:p>
      <w:r>
        <w:rPr>
          <w:b/>
        </w:rPr>
        <w:t>E. 7</w:t>
      </w:r>
    </w:p>
    <w:p>
      <w:r>
        <w:t>Il résulte de ce qui précède que le recours, bien fondé, doit être admis, et la décision attaquée réformée en ce sens que la recourante a droit à un quart de rente d’invalidité à compter du 1er octobre 2013, puis à une rente entière dès le 1er avril 2016, soit après le délai de trois mois prévu à l’art. 88a al. 2 RAI, dans la mesure où l’aggravation de son état est survenue au début de l’année 2016.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la recourante a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w:t>
      </w:r>
    </w:p>
    <w:p>
      <w:r>
        <w:t>- 19 - dépens en matière administrative du 28 avril 2015 ; RSV 173.36.5.1]), il y a lieu de les fixer en l’espèce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