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ZD17.017202 vom 14. Februar 2019</w:t>
      </w:r>
    </w:p>
    <w:p>
      <w:r>
        <w:t>VD Tribunal cantonal, 2019-02-14, FR</w:t>
      </w:r>
    </w:p>
    <w:p>
      <w:r>
        <w:rPr>
          <w:b/>
        </w:rPr>
        <w:t xml:space="preserve">Quelle: </w:t>
      </w:r>
      <w:r>
        <w:t>https://mcp.opencaselaw.ch/entscheid/vd_gerichte_ZD17.017202</w:t>
      </w:r>
    </w:p>
    <w:p>
      <w:r>
        <w:t>FR: VD_GERICHTE ZD17.017202 du 14 février 2019</w:t>
      </w:r>
    </w:p>
    <w:p>
      <w:r>
        <w:t>IT: VD_GERICHTE ZD17.017202 del 14 febbraio 2019</w:t>
      </w:r>
    </w:p>
    <w:p>
      <w:pPr>
        <w:pStyle w:val="Heading2"/>
      </w:pPr>
      <w:r>
        <w:t>Volltext</w:t>
      </w:r>
    </w:p>
    <w:p>
      <w:r>
        <w:t>TRIBUNAL CANTONAL AI 129/17- 43/2019 ZD17.017202 CO UR DE S ASSURANCES S OCIALES _____________________________________________ Arrêt du 14 février 2019 __________________ Composition : M. MÉTRAL, président M. Neu et Mme Dessaux, juges Greffière : Mme Raetz ***** Cause pendante entre : V.________, à [...], recourante, représentée par Me Florence Bourqui, avocate auprès d’Inclusion Handicap, à Lausanne, et OFFICE DE L'ASSURANCE-INVALIDITÉ POUR LE CANTON DE VAUD, à Vevey, intimé. _______________ Art. 6 ss LPGA ; 4 et 28 LAI ; 87 RAI. 402</w:t>
      </w:r>
    </w:p>
    <w:p>
      <w:r>
        <w:t>- 2 - E n f a i t : A. V.________ (ci-après : l’assurée ou la recourante), née en 1957, a notamment travaillé en tant que serveuse dans un restaurant puis, dès le mois de septembre 2000, en qualité d’ouvrière pour R.________, à plein temps. Le 16 décembre 2002, l’assurée a déposé une demande de prestations de l’assurance-invalidité, sous la forme d’un reclassement dans une nouvelle profession, auprès de l’Office de l’assurance-invalidité pour le canton de Vaud (ci-après : l’OAI ou l’intimé). Le médecin généraliste traitant de l’assurée, le Dr N.________, a attesté une incapacité totale de travail dès le 4 septembre 2002. Dans un rapport du 4 novembre 2002 à S.________, assureur perte de gain en cas de maladie de l’employeur, le Dr N.________ a posé les diagnostics d’état dépressif avec radialgies multiples, cervico-dorso-lombaires, brachialgies bilatérales, sans atteinte neurogène, de discrète atteinte bilatérale du nerf médian au niveau du canal carpien, traité avec succès par port d’attelles du poignet durant la nuit, de phénomène de Raynaud, ainsi que d’ostéopénie. Le pronostic était favorable, avec une reprise probable du travail dans les deux semaines, pour autant que l’assurée obtienne un changement de poste afin d’éviter le contact avec des denrées froides et le port de charges lourdes. Dans un rapport du 11 décembre 2002, le Dr Q.________, rhumatologue, a retenu les diagnostics de fibromyalgie et de syndrome du tunnel carpien bilatéral débutant. Il a estimé que dans une activité adaptée, soit sans mouvements répétitifs au niveau des membres supérieurs ni rotations de la nuque, l’assurée disposait d’une pleine capacité de travail. L’employeur a licencié l’assurée pour le 31 mars 2003.</w:t>
      </w:r>
    </w:p>
    <w:p>
      <w:r>
        <w:t>- 3 - S.________ a mis en œuvre une expertise rhumatologique, en mandatant le Dr F.________, spécialiste en médecine physique et réadaptation, ainsi qu’en rhumatologie. Dans un rapport du 16 mai 2003, il a posé les diagnostics de fibromyalgie, de syndrome anxio-dépressif, de syndrome du tunnel carpien, ainsi que d’obésité. L’expertisée s’était plainte de douleurs multiples prenant tant les membres inférieurs que les membres supérieurs, avec une importante fatigabilité. Les douleurs étaient bien réelles. L’assurée avait de la peine à effectuer ses petites activités ménagères, de sorte que l’expert ne voyait pas comment elle pourrait travailler dans une entreprise, une institution ou un restaurant. L’incapacité de travail était totale et due au trouble psychique. Le pronostic n’était pas catastrophique à long terme, car la patiente avait vraiment envie de travailler à nouveau. Elle aimait le contact, sortait, voyait des amis, ce qui paraissait être un bon signe. D’ici à quelques semaines, une reprise à 50 % dans un premier temps pourrait être envisagée dans la restauration, mais plutôt dans un bar ou une confiserie que dans un grand restaurant. L’OAI a confié la réalisation d’une expertise psychiatrique au Dr M.________, psychiatre, lequel s’est entretenu avec l’assurée le 19 juillet 2005 et lui a fait effectuer des tests psychométriques. Dans son rapport du 15 août 2005, le spécialiste a retenu les diagnostics d’épisode dépressif majeur de gravité légère à moyenne chronique, de trouble somatoforme indifférencié, ainsi que de personnalité à trait histrionique. La capacité de travail était d’au moins 70 % dans l’activité professionnelle antérieure, éventuellement dans un poste aménagé pour éviter le port de charges lourdes. Dans un rapport du 2 décembre 2015, la Dresse D.________, médecin au Service médical régional de l’assurance-invalidité (ci-après : le SMR), a relevé que les critères posés par la jurisprudence pour admettre le caractère invalidant d’un trouble somatoforme douloureux n’étaient pas remplis. Elle a retenu que l’assurée disposait d’une pleine capacité de travail dans son activité habituelle.</w:t>
      </w:r>
    </w:p>
    <w:p>
      <w:r>
        <w:t>- 4 - Par décision du 8 décembre 2005, confirmée par décision sur opposition du 23 janvier 2007, l’OAI a rejeté la demande de prestations en expliquant que l’intéressée présentait une capacité de travail de 100 % dans toute activité. Par jugement du 19 octobre 2007 (TASS AI 79/07 – 234/2007), le Tribunal des assurances du canton de Vaud a rejeté le recours formé par l’assurée contre cette décision sur opposition et l’a confirmée. B. Le 29 septembre 2009, l’assurée a déposé une nouvelle demande de prestations. Elle a fait parvenir à l’OAI un rapport établi le 26 août 2009 par le Dr K.________, son nouveau médecin généraliste traitant. Celui-ci faisait état d’une péjoration de son état de santé avec une aggravation des douleurs dans la région cervico-dorso-lombaire, à la hanche droite et aux mains. La symptomatologie était accompagnée d’un syndrome anxio-dépressif et de céphalées tensionnelles. L’incapacité de travail était totale. Par projet du 17 décembre 2009, confirmé par décision du 24 juin 2010, l’OAI a refusé d’entrer en matière sur la demande de prestations, relevant que l’assurée n’avait pas rendu vraisemblable que les conditions de fait s’étaient modifiées de manière essentielle depuis la dernière décision. L’assurée a recouru contre cette décision auprès de la Cour des assurances sociales du Tribunal cantonal. Statuant par arrêt du 17 mai 2011, la Cour a rejeté le recours et confirmé la décision attaquée (CASSO AI 296/10 – 234/2011). C. Le 11 décembre 2013, l’assurée a déposé une troisième demande de prestations. Le 20 décembre 2013, l’intéressée a fait parvenir à l’OAI les documents suivants, établis le jour-même :</w:t>
      </w:r>
    </w:p>
    <w:p>
      <w:r>
        <w:t>- 5 - - un compte rendu du L.________ de l’[...], selon lequel l’assurée avait fait part d’une aggravation de sa situation de santé et de grandes difficultés pour toutes les tâches ménagères, et non plus uniquement pour la lessive et le repassage. Le service d’ergothérapie avait relevé la pertinence d’une aide au ménage plus conséquente ; - un rapport du Dr K.________, constatant une lente péjoration de la symptomatologie douloureuse, avec des difficultés pour faire le ménage, et une capacité de travail nulle. Un rapport du 30 janvier 2013 du Dr Q.________, posant les diagnostics de fibromyalgie et d’épicondylite droite atypique au décours, était joint en annexe. Par décision du 15 avril 2014, confirmant un projet du 6 mars 2014, l’OAI a une nouvelle fois refusé d’entrer en matière sur la demande de prestations. D. Le 2 juillet 2014, l’assurée a déposé une quatrième demande. Elle a joint un rapport du 18 juin 2014 de la Dresse C.________, psychiatre traitante, posant le diagnostic de trouble dépressif récurrent, épisode actuel sévère, sans symptômes psychotiques. Dans un rapport du 28 octobre 2014 à l’OAI, la Dresse C.________ a répété le diagnostic précité, lequel avait un effet sur la capacité de travail, et ajouté celui de personnalité borderline, sans répercussion sur ladite capacité. L’incapacité de travail était de 50 % en raison d’un trouble dépressif sévère, d’un trouble du sommeil et d’une importante fatigabilité. Le rendement était réduit au vu de « l’âge de la patiente avec une importante neurasthénie ». L’OAI a mis sur pied une expertise psychiatrique, qu’il a confiée au Dr H.________, psychiatre, lequel s’est entretenu avec l’assurée les 1er et 20 septembre 2016. Dans un rapport du 24 septembre 2016, l’expert a posé les diagnostics, ayant un effet sur la capacité de travail, de trouble dépressif récurrent, épisode actuel moyen avec syndrome</w:t>
      </w:r>
    </w:p>
    <w:p>
      <w:r>
        <w:t>- 6 - somatique, de syndrome somatoforme douloureux persistant et de neurasthénie, existant tous depuis 2002. Le diagnostic de traits de personnalité immature et histrionique n’avait quant à lui aucune répercussion sur ladite capacité. Il a confirmé l’appréciation du Dr M.________ quant à une capacité de travail de 70 %, mais uniquement à moyen terme. Pour le moment, compte tenu de la comorbidité dépressive, ce taux ne dépassait pas 50 % dans une activité peu exigeante en termes de mobilité, dans le domaine de la vente ou de la restauration. En réponse aux questions de l’OAI, le Dr H.________ a indiqué, le 15 décembre 2016, que l’incapacité de travail en lien avec le trouble somatoforme et la neurasthénie était de l’ordre de 30 %, et que 20 % supplémentaires étaient à mettre en relation avec le trouble dépressif récurrent. Par avis médical du 13 janvier 2017, la Dresse J.________, médecin au SMR, s’est distancée de l’appréciation du Dr H.________. Elle a expliqué qu’il retenait un diagnostic du registre psychosomatique, comme l’avait fait le Dr M.________ dans son expertise de 2005. Selon le Dr H.________, les répercussions n’avaient « guère évolué depuis 2005 » et les observations faites à l’époque « restaient d’actualité ». La Dresse J.________ a ainsi constaté une capacité de travail de 70 %, telle que fixée par le Dr M.________, puis confirmée par la Cour de céans. Il n’y avait pas d’éléments suffisamment étayés et convaincants pour pouvoir confirmer une modification notable et durable de l’état de santé de l’assurée. Par projet de décision du 19 janvier 2017, l’OAI a informé l’assurée qu’il envisageait de rejeter sa demande de prestations. Il n’y avait aucune modification notable et durable de son état de santé. Le 20 février 2017, l’assurée, désormais représentée par Me Florence Bourqui, avocate auprès d’Inclusion handicap, a contesté cette décision, en soutenant que les arguments avancés par le SMR ne permettaient pas de remettre en question l’expertise du Dr H.________.</w:t>
      </w:r>
    </w:p>
    <w:p>
      <w:r>
        <w:t>- 7 - L’OAI a confirmé le refus de prestations par décision du 16 mars 2017. Dans une lettre du même jour, il a expliqué que la situation médicale était essentiellement demeurée inchangée depuis la décision du 23 janvier 2007, soit la dernière décision sur le fond entrée en force, confirmée par la Cour de céans. L’expert posait en effet des diagnostics similaires à ceux ressortant de l’expertise du Dr M.________ et précisait à plusieurs reprises que les observations décrites à l’époque restaient d’actualité. Il n’y avait en outre aucune mention d’une aggravation des troubles constatés. Le fait que le Dr H.________ retenait une capacité de travail de 50 % – d’ailleurs à court [recte : moyen] terme de 70 % – n’était pas déterminant, s’agissant d’une appréciation différente d’un même état de fait. E. Par acte du 21 avril 2017, V.________, toujours représentée par Me Bourqui, a recouru contre cette décision auprès de la Cour de céans, concluant à sa réforme en ce sens qu’une demi-rente d’invalidité lui soit octroyée dès le 1er juillet 2014, subsidiairement à son annulation et au renvoi de la cause à l’OAI pour nouvelle instruction. Elle a reproché à l’OAI de s’être fondé sur un rapport du SMR non objectif pour écarter l’expertise du Dr H.________, laquelle avait une pleine valeur probante. Cet expert avait expliqué en quoi les symptômes qu’elle présentait avaient évolué de manière défavorable. Dans sa réponse du 12 juin 2017, l’OAI a proposé le rejet du recours. Par réplique du 30 juin 2017, la recourante a confirmé ses conclusions. Le juge en charge de l’instruction a ordonné une expertise psychiatrique judiciaire auprès du Dr B.________, psychiatre, lequel a examiné l’assurée les 5 septembre et 17 octobre 2018. Dans son rapport du 14 novembre 2018, le Dr B.________ a retenu le diagnostic de trouble de l’humeur persistant ou dysthymie. De manière globale, il a noté aucune</w:t>
      </w:r>
    </w:p>
    <w:p>
      <w:r>
        <w:t>- 8 - évolution, favorable ou défavorable, par rapport aux observations faites entre 2002 et 2005. La capacité de travail était entière dans l’activité habituelle de serveuse ou dans une autre activité dans le domaine de la vente, depuis janvier 2003. Invitées à se déterminer sur ce rapport d’expertise, les parties ont maintenu leur position.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 dans les trente jours suivant la notification de la décision attaquée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En l’espèce, le recours a été interjeté en temps utile, compte tenu des féries de Pâques (art. 38 al. 4 let. a et 60 al. 1 LPGA). Il satisfait en outre aux autres conditions de forme (art. 61 let. b LPGA notamment), de sorte qu’il est recevable.</w:t>
      </w:r>
    </w:p>
    <w:p>
      <w:r>
        <w:t>- 9 - 2. Le litige porte sur le droit de la recourante à une demi-rente de l’assurance-invalidité, singulièrement sur l’évaluation de sa capacité de travail.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comme en l’espèce, l’administration entre en matière sur une nouvelle demande après un refus de prestations (art. 87</w:t>
      </w:r>
    </w:p>
    <w:p>
      <w:r>
        <w:t>- 10 - al. 2 et 3 RAI [règlement du 17 janvier 1961 sur l’assurance-invalidité ; RS 831.201]), elle doit examiner l’affaire au fond, et vérifier que la modification du degré d’invalidité ou de l’impotence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 TF 9C_399/2015 du 11 février 2016 consid. 2,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w:t>
      </w:r>
    </w:p>
    <w:p>
      <w:r>
        <w:t>- 11 - 4.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convient d’établir l’existence d’éléments objectivement</w:t>
      </w:r>
    </w:p>
    <w:p>
      <w:r>
        <w:t>- 12 -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La jurisprudence a dégagé au cours de ces dernières années un certain nombre de principes et de critères normatifs pour permettre d’apprécier – sur les plans médical et juridique – la capacité de travail raisonnablement exigible d’un assuré souffrant d’un syndrome sans pathogenèse ni étiologie claires et sans constat de déficit organique, tel que le trouble somatoforme douloureux (TF 9C_49/2013 du 2 juillet 2013 consid. 4.1) et la fibromyalgie (ATF 132 V 65).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Le Tribunal fédéral a récemment étendu l’application de la procédure d’examen structurée d’administration des preuves à l’ensemble des maladies psychiatriques, en particulier aux dépressions légères à moyennes (ATF 143 V 418 et 143 V 409).</w:t>
      </w:r>
    </w:p>
    <w:p>
      <w:r>
        <w:t>- 13 - La preuve d’un trouble somatoforme douloureux, et donc désormais de tout trouble psychique, suppose en premier lieu que l’atteinte soit diagnostiquée par l’expert selon les règles de l’art.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w:t>
      </w:r>
    </w:p>
    <w:p>
      <w:r>
        <w:t>- 14 -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6. En l’espèce, l’intimé est entré en matière sur la nouvelle demande de prestations déposée le 2 juillet 2014 par la recourante. Il convient dès lors d’examiner si l’état de santé de cette dernière s’est modifié depuis la décision de refus de prestations du 23 janvier 2007, confirmée par jugement du 19 octobre 2007, dans une mesure propre à justifier l’octroi d’une rente. Il s’agit en effet de la dernière décision entrée</w:t>
      </w:r>
    </w:p>
    <w:p>
      <w:r>
        <w:t>- 15 - en force reposant sur un examen complet de son droit à la rente (cf. consid. 3b supra). L’assurée, se fondant sur l’appréciation de l’expert H.________, soutient que sa capacité de travail est désormais limitée à 50 %. Toutefois, dans son rapport d’expertise judiciaire du 14 novembre 2018, le Dr B.________ retient que la recourante présente une capacité de travail totale dans l’activité habituelle, ceci depuis 2003. Les constatations du Dr B.________ permettent d’exclure une péjoration durable de l’état de santé de l’intéressée. Cette expertise, comprenant notamment une description et une appréciation claires de la situation médicale, ainsi que des conclusions bien motivées, est probante. En particulier, le Dr B.________ met en évidence l’absence de gravité des troubles psychiques constatés et les ressources dont dispose l’assurée. Il relève également une incohérence entre l’incapacité de travail alléguée et le fait que les atteintes à la santé n’ont finalement que peu de répercussion dans les autres domaines d’activités. Le Dr H.________ est moins convainquant lorsqu’il atteste une incapacité de travail de 50 % en raison d’un trouble dépressif de gravité moyenne, d’un trouble somatoforme et d’une neurasthénie. En effet, il indique notamment que les atteintes à la santé auraient également des répercussions sur la sphère privée, avec des douleurs et une fatigue décrites comme handicapantes dans la vie quotidienne, une désertification relationnelle, des conflits de plus en plus fréquents avec la famille au [...] et un repli dans une attitude passive à domicile. Ces constats reposent sur une anamnèse insuffisamment détaillée dans l’expertise, alors que pour sa part, le Dr B.________ a mis en exergue des éléments contredisant la désertification relationnelle et la rupture avec la famille au [...]. En particulier, il a relevé que la recourante sortait de chez elle, allait boire un café dans un bistrot [...] où elle se sentait bien, qu’elle aimait voir du monde, qu’elle communiquait par Messenger avec sa famille au [...], et y passait ses vacances en famille environ une fois par année, quand bien même les relations étaient difficiles. Le Dr B.________ a également souligné que l’intéressée vivait une relation sentimentale, même si elle ne</w:t>
      </w:r>
    </w:p>
    <w:p>
      <w:r>
        <w:t>- 16 - cohabitait pas avec son compagnon, et qu’avant cette relation, elle en avait eu plusieurs successives. Le Dr B.________ a en outre mis en évidence qu’elle gérait son ménage de manière autonome, hormis pour certaines tâches spécifiques confiées à une femme de ménage. Enfin, il a relevé que l’assurée ne mentionnait pas de nette aggravation de ses atteintes et que l’examen psychiatrique effectué par le Dr M.________ en 2005 était comparable à celui qu’il avait lui-même réalisé. Dans ces conditions, et indépendamment de la divergence de diagnostic entre les experts, on doit admettre avec le Dr B.________ que les atteintes à la santé que présente l’assurée ne se sont pas aggravées et n’entraînent pas d’incapacité de travail notable. Les rapports du Dr K.________ et de la Dresse C.________, retenant une capacité de travail nulle, respectivement de 50 %, ne sont pas de nature à remettre en question les considérations qui précèdent. En effet, ils ne font pas état d’éléments objectivement vérifiables qui auraient été ignorés dans le cadre de l’expertise et qui seraient suffisamment pertinents pour remettre en cause les conclusions du Dr B.________. Ce dernier a eu connaissance de ces rapports. Tel qu’il l’a relevé, ceux de la Dresse C.________ ne décrivent que sommairement la symptomatologie psychique. Par ailleurs, le Dr K.________ n’est pas spécialisé en psychiatrie. Au vu de ce qui précède, force est de constater que l’état de santé de la recourante ne s’est pas péjoré depuis la décision de refus de prestations du 23 janvier 2007 de manière à lui ouvrir le droit à une rente, même transitoirement. L’OAI a donc rejeté à juste titre la nouvelle demande de prestations. 7.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w:t>
      </w:r>
    </w:p>
    <w:p>
      <w:r>
        <w:t>- 17 - l'occurrence, vu l'ampleur de la procédure, les frais sont fixés à 400 fr. et mis à la charge de la recourante, qui succombe (art. 49 al. 1 LPA-VD). La recourante, qui n'obtient pas gain de cause, n'a en outre pas droit à des dépens (art. 61 let. g LPGA, art. 55 LPA-VD). Par ces motifs, la Cour des assurances sociales p r o n o n c e : I. Le recours est rejeté. II. La décision rendue le 16 mars 2017 par l’Office de l’assurance- invalidité pour le canton de Vaud est confirmée. III. Les frais judiciaires, arrêtés à 400 fr. (quatre cents francs), sont mis à la charge de la recourante. IV. Il n’est pas alloué de dépens. Le président : La greffière : Du L'arrêt qui précède, dont la rédaction a été approuvée à huis clos, est notifié à : - Me Florence Bourqui (pour V.________)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