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ZD17.012978 vom 13. Juli 2018</w:t>
      </w:r>
    </w:p>
    <w:p>
      <w:r>
        <w:t>VD Tribunal cantonal, 2018-07-13, FR</w:t>
      </w:r>
    </w:p>
    <w:p>
      <w:r>
        <w:rPr>
          <w:b/>
        </w:rPr>
        <w:t xml:space="preserve">Quelle: </w:t>
      </w:r>
      <w:r>
        <w:t>https://mcp.opencaselaw.ch/entscheid/vd_gerichte_ZD17.012978</w:t>
      </w:r>
    </w:p>
    <w:p>
      <w:r>
        <w:t>FR: VD_GERICHTE ZD17.012978 du 13 juillet 2018</w:t>
      </w:r>
    </w:p>
    <w:p>
      <w:r>
        <w:t>IT: VD_GERICHTE ZD17.012978 del 13 luglio 2018</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w:t>
      </w:r>
    </w:p>
    <w:p>
      <w:r>
        <w:t>- 25 -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2ème éd., n° 12 et 17 ad art. 43 LPGA).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9. En l’espèce, compte tenu des carences dont souffre le dossier, en particulier s’agissant du trouble somatoforme douloureux et de la dépendance à l’alcool, la Cour de céans n’est pas en mesure de statuer sur les droits de la recourante à compter du 1er février 2017. On rappellera également que le volet rhumatologique n’a pas été actualisé par l’intimé depuis l’obtention du rapport du Dr L.________ du 26 juillet 2013. Selon la jurisprudence mentionnée sous considérant 8 supra, il incombe à l’intimé de procéder à l’ensemble des mesures d’instruction permettant d’élucider la situation médicale de la recourante. En particulier, il lui appartient d’actualiser les données médicales auprès de l’ensemble des médecins traitants et de procéder à l’instruction des éléments relevés ci-dessus par le biais d’une expertise bidisciplinaire (rhumatologique et psychiatrique), permettant d’évaluer la capacité résiduelle de travail dont dispose la recourante et de définir précisément</w:t>
      </w:r>
    </w:p>
    <w:p>
      <w:r>
        <w:t>- 26 - les limitations fonctionnelles qui empêcheraient une reprise d’activité lucrative. 10. Vu ce qui précède, le recours, bien fondé, doit être admis et la décision du 21 février 2017 annulée, la cause étant renvoyée à l’intimé pour instruction complémentaire au sens des considérants.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l’intimé qui succombe. b) En outre, représentée par un mandataire professionnel, la recourante peut prétendre une indemnité de dépens, fixée en l’occurrence à 2'500 fr. eu égard à la complexité de la procédure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