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ZD17.010750 vom 4. März 2021</w:t>
      </w:r>
    </w:p>
    <w:p>
      <w:r>
        <w:t>VD Tribunal cantonal, 2021-03-04, FR</w:t>
      </w:r>
    </w:p>
    <w:p>
      <w:r>
        <w:rPr>
          <w:b/>
        </w:rPr>
        <w:t xml:space="preserve">Quelle: </w:t>
      </w:r>
      <w:r>
        <w:t>https://mcp.opencaselaw.ch/entscheid/vd_gerichte_ZD17.010750</w:t>
      </w:r>
    </w:p>
    <w:p>
      <w:r>
        <w:t>FR: VD_GERICHTE ZD17.010750 du 4 mars 2021</w:t>
      </w:r>
    </w:p>
    <w:p>
      <w:r>
        <w:t>IT: VD_GERICHTE ZD17.010750 del 4 marzo 2021</w:t>
      </w:r>
    </w:p>
    <w:p>
      <w:pPr>
        <w:pStyle w:val="Heading2"/>
      </w:pPr>
      <w:r>
        <w:t>Erwägungen</w:t>
      </w:r>
    </w:p>
    <w:p>
      <w:r>
        <w:rPr>
          <w:b/>
        </w:rPr>
        <w:t>E. 4</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182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w:t>
      </w:r>
    </w:p>
    <w:p>
      <w:r>
        <w:t>- 17 -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les traitements sont mis à profit ou, au</w:t>
      </w:r>
    </w:p>
    <w:p>
      <w:r>
        <w:t>- 18 -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En l’occurrence, la recourante présente diverses atteintes somatiques et psychiques entraînant selon elle une incapacité de travail totale depuis février 2012, respectivement depuis le 15 novembre 2013. L’intimé, se fondant sur les expertises des Drs P.________ et W.________, a retenu une pleine capacité de travail en toute activité depuis le 7 novembre 2012. b) Sur le plan somatique, la recourante souffre principalement d’une atteinte à l’épaule gauche, à l’origine d’une opération le 7 février 2012, d’une dégénérescence labrale antéro-supérieure de l’épaule droite ainsi que d’une tendinopathie de la coiffe des rotateurs (sus-épineux) des deux épaules et d’une arthropathie dégénérative acromio-claviculaire bilatérale débutante (rapport d’expertise du Dr P.________) de même que de cervicalgies C5-C6 gauche (rapport d’expertise F.________). De l’avis des experts du F.________, cette dernière atteinte n’est pas incapacitante et aucun rapport médical ne s’inscrit en faux contre cette appréciation. Les atteintes à l’épaule droite ont été révélées par l’imagerie de comparaison effectuée les 20 mars et 7 avril 2015 à la demande de l’expert P.________. Il n’existe avant cette date aucun rapport médical attestant d’une quelconque limitation fonctionnelle de l’épaule droite. Au contraire, les diagnostics somatiques posés par l’expert K.________ se</w:t>
      </w:r>
    </w:p>
    <w:p>
      <w:r>
        <w:t>- 19 - réfèrent tous à l’épaule gauche et lors de l’examen clinique orthopédique pratiqué par l’expert R.________ le 3 juillet 2014, la mobilité articulaire de l’épaule droite est complète, non douloureuse et la force excellente (expertise F.________ p. 11). Les atteintes à l’épaule droite ne sauraient dès lors être considérées comme incapacitantes, étant précisé que certaines des limitations fonctionnelles inhérentes à l’épaule gauche concerneront ipso facto l’épaule droite. c) Cela étant, il convient d’apprécier l’évolution temporelle de l’incapacité de travail liée à l’atteinte à l’épaule gauche. Il ne saurait être contesté que la recourante a présenté une incapacité de travail totale dans les suites immédiates de son opération du</w:t>
      </w:r>
    </w:p>
    <w:p>
      <w:r>
        <w:rPr>
          <w:b/>
        </w:rPr>
        <w:t>E. 7</w:t>
      </w:r>
    </w:p>
    <w:p>
      <w:r>
        <w:t>a) En définitive, le recours doit être admis et la décision attaquée réformée en ce sens que l’assurée a droit à une rente entière d’invalidité dès le 1er février 2014.</w:t>
      </w:r>
    </w:p>
    <w:p>
      <w:r>
        <w:t>- 28 -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à la charge de l’office intimé. En présence d’expertises psychiatriques présentant des divergences conséquentes en matière de diagnostics et des conclusions diamétralement opposées en termes de capacité de travail, ni l’une ni l’autre ne répondant de surcroît aux critères jurisprudentiels posés par l’ATF 141 V 281, l’intimé aurait déjà dû compléter l’instruction en application de son devoir d’instruire la cause d’office (art. 43 al. 1 LPGA) et ordonner une surexpertise. Pour ces motifs, les frais d’expertise judiciaire, d’un montant de 13'334 fr. 60 (12'000 fr. d’honoraires pour soixante heures, 1'000 fr. de travail administratif et 334 fr. 60 de frais de laboratoire), seront mis à sa charge (art. 45 al. 1 LPGA ; cf. ATF 137 V 210 consid. 4.4 ; TF 9C_758/2019 consid. 3.2 du 4 février 2020). c) Par ailleurs, assistée d’un mandataire qualifié, la recourante a droit à des dépens, qu’il convient de fixer à 3'000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