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ZD17.009717 vom 14. Mai 2018</w:t>
      </w:r>
    </w:p>
    <w:p>
      <w:r>
        <w:t>VD Tribunal cantonal, 2018-05-14, FR</w:t>
      </w:r>
    </w:p>
    <w:p>
      <w:r>
        <w:rPr>
          <w:b/>
        </w:rPr>
        <w:t xml:space="preserve">Quelle: </w:t>
      </w:r>
      <w:r>
        <w:t>https://mcp.opencaselaw.ch/entscheid/vd_gerichte_ZD17.009717</w:t>
      </w:r>
    </w:p>
    <w:p>
      <w:r>
        <w:t>FR: VD_GERICHTE ZD17.009717 du 14 mai 2018</w:t>
      </w:r>
    </w:p>
    <w:p>
      <w:r>
        <w:t>IT: VD_GERICHTE ZD17.009717 del 14 maggio 2018</w:t>
      </w:r>
    </w:p>
    <w:p>
      <w:pPr>
        <w:pStyle w:val="Heading2"/>
      </w:pPr>
      <w:r>
        <w:t>Erwägungen</w:t>
      </w:r>
    </w:p>
    <w:p>
      <w:r>
        <w:rPr>
          <w:b/>
        </w:rPr>
        <w:t>E. 1</w:t>
      </w:r>
    </w:p>
    <w:p>
      <w:r>
        <w:t>a) Les dispositions de la loi fédérale du 6 octobre 2000 sur la partie générale du droit des assurances sociales (LPGA; RS 830.1) s'appliquent à l'assurance-accidents (art. 1 de la loi fédérale du 19 juin 1959 sur l'assurance-invalidité [LAI;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w:t>
      </w:r>
    </w:p>
    <w:p>
      <w:r>
        <w:rPr>
          <w:b/>
        </w:rPr>
        <w:t>E. 2</w:t>
      </w:r>
    </w:p>
    <w:p>
      <w:r>
        <w:t>Le litige porte sur le droit du recourant à des prestations de l’assurance-invalidité, singulièrement le degré d’invalidité à la base de cette prestation.</w:t>
      </w:r>
    </w:p>
    <w:p>
      <w:r>
        <w:rPr>
          <w:b/>
        </w:rPr>
        <w:t>E. 3</w:t>
      </w:r>
    </w:p>
    <w:p>
      <w:r>
        <w:t>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w:t>
      </w:r>
    </w:p>
    <w:p>
      <w:r>
        <w:t>- 14 -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c)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w:t>
      </w:r>
    </w:p>
    <w:p>
      <w:r>
        <w:rPr>
          <w:b/>
        </w:rPr>
        <w:t>E. 4</w:t>
      </w:r>
    </w:p>
    <w:p>
      <w:r>
        <w:t>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w:t>
      </w:r>
    </w:p>
    <w:p>
      <w:r>
        <w:t>- 15 -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w:t>
      </w:r>
    </w:p>
    <w:p>
      <w:r>
        <w:rPr>
          <w:b/>
        </w:rPr>
        <w:t>E. 5</w:t>
      </w:r>
    </w:p>
    <w:p>
      <w:r>
        <w:t>En l’occurrence, il n’y a pas lieu de s’écarter des conclusions de l’expertise pluridisciplinaire établie par le M.________. a) L’expertise pluridisciplinaire du M.________ remplit toutes les conditions auxquelles la jurisprudence soumet la valeur probante d’un tel document. En effet, les experts, dont l’indépendance n’est pas remise en cause par le recourant, ont fondé leur rapport sur un examen clinique et paraclinique complet, englobant des investigations spécialisées sur les plans rhumatologique, neurologique et psychiatrique, et pris en considération les plaintes exprimées par le recourant. Le rapport a été établi en pleine connaissance de l’anamnèse et du dossier médical, en particulier de l’ensemble des rapports médicaux recueillis par le Dr N.________. Pour le reste, la description de la situation et son appréciation sont claires et compréhensibles.</w:t>
      </w:r>
    </w:p>
    <w:p>
      <w:r>
        <w:t>- 16 - b) Aucune pièce médicale versée au dossier ne justifie de s’écarter de l’expertise établie par le M.________. En particulier, le Dr N.________ n’avance aucun élément objectif susceptible de remettre en cause le bien-fondé des conclusions de l’expertise. Il est vrai que ce médecin met en avant, dans sa prise de position du 28 novembre 2017, que la conjonction des facteurs que sont les douleurs chroniques, l’âge, la symptomatologie dépressive et la maladie coronarienne devrait conduire à la reconnaissance d’une incapacité de travail de 100 %. Toutefois, il reconnaît à demi-mots qu’une capacité de travail de 50 % demeure exigible sur un plan médico-théorique. c) Contrairement à ce que requiert le recourant, il n’y a pas lieu, malgré le diagnostic de trouble somatoforme douloureux persistant posé par les experts du M.________, d’examiner la situation au regard de la jurisprudence récente du Tribunal fédéral relative aux syndromes sans pathogenèse ni étiologie claire et sans constat de déficit organique (ATF 141 V 281). En effet, les experts ont souligné que le recourant avait montré une grande résilience ainsi que d’excellentes ressources adaptatives pour mener une vie sociale, affective, familiale et professionnelle stable et satisfaisante ; même sous la pression d’un tableau douloureux pénible, il était parvenu à garder un rapport à la vie plutôt serein. Par ailleurs, il n’apparaît pas, à la lecture du rapport d’expertise, que le recourant présentait – au moment où l’expertise a été réalisée – des facteurs d’affaiblissement potentiels de ses ressources, tels que des symptômes psychiques associés (dépression, anxiété), la présence de conflits émotionnels non résolus ou encore l’existence de problèmes psychosociaux, lesquels pourraient alors justifier la mise en œuvre d’un complément d’instruction sur le plan psychiatrique. d) Il n’est pas contesté que le recourant souffre depuis la fin de l’année 2016 d’une maladie coronarienne qui a été à l’origine d’une incapacité totale de travailler du 1er décembre 2016 au 30 avril 2017. Dans son rapport du 10 juillet 2017, le Dr T.________ a cependant clairement indiqué que la maladie coronarienne n’entraînait actuellement aucune limitation pour exercer une activité professionnelle. S'il convient</w:t>
      </w:r>
    </w:p>
    <w:p>
      <w:r>
        <w:t>- 17 - d'admettre qu'une péjoration de l'état de santé du recourant ne peut être exclue à plus ou moins long terme au regard des spécificités de l'affection dont il souffre, il n'y a pas lieu de la prendre en considération de façon anticipée dans le cadre de l'évaluation globale de la capacité de travail, ce d'autant plus qu'une rechute n'est, par définition, ni prévisible ni quantifiable (TF 9C_485/2013 du 1er avril 2014 consid. 4.3.1). Il n’en demeure pas moins que l’aggravation passagère de l’incapacité de travail du recourant a duré plus de trois mois et que, partant, elle doit, contrairement à ce que soutient l’office intimé, être prise en considération dans le cadre du droit à la rente, conformément à l’art. 88a al. 2 RAI. Dans la mesure toutefois où les effets de cette aggravation sur le droit à la rente sont postérieurs à la date de la décision litigieuse du 30 janvier 2017, il convient, sur ce point précis, de renvoyer la cause à l’office intimé pour qu’il rende une nouvelle décision. e) En l’absence d’avis médicaux susceptibles de jeter le doute quant au bien-fondé des conclusions de l’expertise, il n’y a pas lieu de donner suite à la requête du recourant tendant à la mise en œuvre d’une expertise pluridisciplinaire. f) En définitive, il y a lieu de retenir que le recourant présentait, au moment où la décision litigieuse a été rendue, une capacité résiduelle de travail de 50 % dans une activité adaptée à ses limitations fonctionnelles (activité légère, ne nécessitant pas un engagement physique lourd, le port de charges régulier supérieur à 10 kg et autorisant des changements relativement fréquents de position assis-debout sans déplacement à pied important).</w:t>
      </w:r>
    </w:p>
    <w:p>
      <w:r>
        <w:rPr>
          <w:b/>
        </w:rPr>
        <w:t>E. 6</w:t>
      </w:r>
    </w:p>
    <w:p>
      <w:r>
        <w:t>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w:t>
      </w:r>
    </w:p>
    <w:p>
      <w:r>
        <w:t>- 18 -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w:t>
      </w:r>
    </w:p>
    <w:p>
      <w:r>
        <w:t>- 19 - que de la durée prévisible des rapports de travail (cf. TFA I 819/04 du 27 mai 2005 consid. 2.2 et les références). b) A la lumière des constations opérées au consid. 5 du présent arrêt, il n'existe aucun élément qui laisserait à penser que le recourant ne serait pas en mesure, d’un point de vue strictement médical, d'exercer à temps partiel une activité lucrative adaptée à ses limitations fonctionnelles. Sur le plan personnel et professionnel, la mise en valeur de la capacité résiduelle de travail dans une activité adaptée apparaît également exigible. Âgé de 60 ans au moment où il a été constaté que l'exercice partiel d'une activité lucrative était médicalement exigible (ATF 138 V 457), le recourant n'avait pas encore atteint l'âge à partir duquel la jurisprudence considère généralement qu'il n'existe plus de possibilité réaliste de mise en valeur de la capacité résiduelle de travail sur un marché du travail supposé équilibré. Si l'âge actuel et les restrictions induites par ses limitations fonctionnelles peuvent limiter dans une certaine mesure les possibilités de retrouver un emploi, on ne saurait considérer qu'ils rendent cette perspective illusoire. Il n'est par ailleurs pas arbitraire d'affirmer que le marché du travail offre – indépendamment des activités mentionnées par l’office intimé au cours de la procédure – un large éventail d'activités légères, dont on doit convenir qu'un nombre important sont adaptées aux limitations du recourant et accessibles sans formation particulière.</w:t>
      </w:r>
    </w:p>
    <w:p>
      <w:r>
        <w:rPr>
          <w:b/>
        </w:rPr>
        <w:t>E. 7</w:t>
      </w:r>
    </w:p>
    <w:p>
      <w:r>
        <w:t>Cela étant constaté, il y a lieu de déterminer le degré d’invalidité du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w:t>
      </w:r>
    </w:p>
    <w:p>
      <w:r>
        <w:t>- 20 -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 aa) Le revenu sans invalidité est celui que l'assuré aurait pu obtenir s'il n'était pas devenu invalide (art. 16 LPGA;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TF 9C_719/2015 du 3 juin 2016 consid. 6.2). bb) A l’époque où l’incapacité de travail est survenue, le recourant travaillait à plein temps pour le compte de la société P.________. Selon le questionnaire rempli par son employeur à l’intention de l’office intimé, le recourant avait réalisé en 2010 un salaire annuel de 63'026 francs. S’agissant de l’indexation de ce salaire pour l’année 2011, année déterminante pour la comparaison des revenus (art. 28 al. 1 et 29 al. 1 LAI), il n’y a pas lieu de tenir compte, contrairement à ce que requiert le recourant, de l’indexation négociée par les partenaires sociaux dans le cadre de la mise en œuvre de la convention collective de travail applicable au sein du P.________ (entre 1,25 et 1,75 % au 1er janvier 2011 [communiqué de presse [...]]). Ainsi que l’a relevé l’office intimé en cours de procédure, le salaire touché par le recourant au sein de la société P.________ a passablement varié au fil des années (45'385 fr. en 2006 ; 50'786 fr. en 2007 ; 61'367 fr. en 2008 ; 50'575 fr. en 2009 et 63'026 fr. en 2010). Aussi peut-on se demander s’il n’eut pas été plus correct de se fonder sur la moyenne des revenus obtenus au cours des années précédant la survenance de l’incapacité de travail. Cela étant, la Cour de</w:t>
      </w:r>
    </w:p>
    <w:p>
      <w:r>
        <w:t>- 21 - céans ne juge pas opportun d’examiner cette question, si bien que le montant – particulièrement favorable au recourant – de 63'656 fr. retenu par l’office intimé peut être confirmé, compte tenu d’une évolution des salaires nominaux de 1% pour les hommes en 2011 (La Vie économique, 12/2014, p. 93, B 10.3). c) aa)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 cf. ATF 129 V 472 consid. 4.2.1). On se réfère alors à la statistique des salaires bruts standardisés, en se fondant toujours sur la médiane ou valeur centrale (cf. ATF 124 V 321 consid. 3b/bb). bb) En l’occurrence, il y a lieu de se fonder sur le revenu auquel peuvent prétendre les hommes effectuant des activités simples et répétitives (niveau 4 de qualification) en 2011.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(arrêt I 171/04 du 1er avril 2005 consid. 4.2, in REAS 2005 p. 240). Dans le cas présent, le salaire de référence pour des hommes exerçant des activités simples et répétitives (niveau de qualification 4) dans le secteur privé était, en 2010, de 4'901 fr. par mois, part au treizième salaire comprise (Enquête suisse sur la structure des salaires 2010, TA1, p. 26). Après adaptation de ce montant à l'horaire usuel dans les entreprises en 2010 (41,6 heures; La Vie économique, 12/2014, p. 92, B 9.2) et à l'évolution des salaires selon l’indice des salaires nominaux</w:t>
      </w:r>
    </w:p>
    <w:p>
      <w:r>
        <w:t>- 22 - pour les hommes de l’année 2011 (+ 1 %; La Vie économique, 12/2014, p. 93, B 10.3), et compte tenu d'une capacité résiduelle de travail de 50 %, on obtient un revenu mensuel de 2'574 francs. cc)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126 V 75 consid. 5b/aa-cc). dd) En l’espèce, il ressort de l’expertise du M.________ que le recourant ne peut exercer qu’une activité semi-sédentaire. Cet élément constitue indéniablement un facteur susceptible d'avoir une influence sur les perspectives salariales de l'intimé. Il convient en outre de tenir compte de l’âge du recourant de même que du passage à l’exercice d’une activité à temps partiel. Eu égard à l’ensemble des circonstances personnelles et professionnelles du cas particulier, un abattement de 15 % apparaît justifié. Partant, le revenu d’invalide s’élève à 2'188 fr. par mois, respectivement à 26'256 fr. par année. d) La comparaison d'un revenu d'invalide de 26'256 fr. avec un revenu sans invalidité de 63'656 fr. aboutit à un degré d'invalidité de 59 %, taux qui ouvre le droit à une demi-rente d’invalidité.</w:t>
      </w:r>
    </w:p>
    <w:p>
      <w:r>
        <w:rPr>
          <w:b/>
        </w:rPr>
        <w:t>E. 8</w:t>
      </w:r>
    </w:p>
    <w:p>
      <w:r>
        <w:t>A ce stade, il reste encore à examiner si le recourant peut prétendre à l'octroi de mesures d’ordre professionnel. a) En vertu du principe de la priorité de la réadaptation sur la rente, ancré à l’art. 28 al. 1 let. a LAI, la rente doit céder le pas aux mesures de réadaptation qui visent à rétablir, à développer et à sauvegarder la capacité de gain ou celle d’accomplir les travaux habituels</w:t>
      </w:r>
    </w:p>
    <w:p>
      <w:r>
        <w:t>- 23 - (ATF 121 V 190 consid. 4). La conséquence de ce principe est qu’avant de se prononcer sur le droit à la rente, les offices AI doivent examiner d’office, sans égard à la demande présentée par l’assuré, toutes les possibilités de réadaptation qui pourraient être nécessaires et de nature à rétablir sa capacité de gain ou d’accomplir les travaux habituels, à l’améliorer, à la sauvegarder ou à en favoriser l’usage. b) Les assurés invalides ou menacés d'une invalidité ont droit à des mesures de réadaptation pour autant que ces mesures soient nécessaires et de nature à rétablir, maintenir ou améliorer leur capacité de travail ou leur capacité d’accomplir leurs travaux habituels et pour autant que les conditions d’octroi des différentes mesures soient remplies (art. 8 al. 1 LAI). Celles-ci comprennent en particulier des mesures d'ordre professionnel (orientation professionnelle, formation professionnelle initiale, reclassement, placement, aide en capital ; art. 8 al. 3 let. b LAI ; cf. également art. 15 à 18d LAI). Pour déterminer si une mesure de réadaptation d'ordre professionnel est de nature à rétablir, maintenir ou améliorer la capacité de travail, l'administration doit préalablement établir un pronostic sur les chances de succès des mesures demandées (cf. ATF 132 V 215 consid. 3.2.2 ;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(arrêt I 370/98 du 26 août 1999 consid. 2 et les références, in VSI 2002 p. 112). c) En l’occurrence, l’office AI a refusé de reconnaître au recourant le droit à des mesures d’ordre professionnel. Il n’est pas contesté que la reprise de l’activité habituelle n’est plus exigible et que le recourant dispose d’une capacité résiduelle de travail de 50% dans une activité adaptée à ses limitations fonctionnelles. Cela étant, la majeure partie des postes de travail pouvant entrer en ligne de compte ne nécessite pas de formation particulière autre qu'une mise au courant</w:t>
      </w:r>
    </w:p>
    <w:p>
      <w:r>
        <w:t>- 24 - initiale, de sorte que le recourant ne saurait prétendre en l’espèce à l’octroi de mesures de réadaptation professionnelle.</w:t>
      </w:r>
    </w:p>
    <w:p>
      <w:r>
        <w:rPr>
          <w:b/>
        </w:rPr>
        <w:t>E. 9</w:t>
      </w:r>
    </w:p>
    <w:p>
      <w:r>
        <w:t>Cela étant, le présent jugement ne préjuge pas de l'existence d'une aggravation de l'état de santé du recourant sur le plan psychiatrique survenue postérieurement à la décision litigieuse, telle qu'elle a pu notamment être mise en évidence dans le rapport du Dr N.________ du 28 novembre 2017. Il convient donc de transmettre le dossier à l'office intimé et de l'inviter à examiner si les conditions du droit à la rente d’invalidité ont évolué postérieurement au 30 janvier 2017 (cf. également supra consid. 5d).</w:t>
      </w:r>
    </w:p>
    <w:p>
      <w:r>
        <w:rPr>
          <w:b/>
        </w:rPr>
        <w:t>E. 10</w:t>
      </w:r>
    </w:p>
    <w:p>
      <w:r>
        <w:t>a) Partant,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succombe (cf. art. 69 al. 1 LAI ; art. 49 al. 1 LPA VD). c) Enfin, il n’y a pas lieu d’allouer de dépens, le recourant n’obtenant pas gain de cause (art. 61 let. g LPGA et 55 al. 1 LPA-VD).</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