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ZD17.006979 vom 12. Juni 2018</w:t>
      </w:r>
    </w:p>
    <w:p>
      <w:r>
        <w:t>VD Tribunal cantonal, 2018-06-12, FR</w:t>
      </w:r>
    </w:p>
    <w:p>
      <w:r>
        <w:rPr>
          <w:b/>
        </w:rPr>
        <w:t xml:space="preserve">Quelle: </w:t>
      </w:r>
      <w:r>
        <w:t>https://mcp.opencaselaw.ch/entscheid/vd_gerichte_ZD17.006979</w:t>
      </w:r>
    </w:p>
    <w:p>
      <w:r>
        <w:t>FR: VD_GERICHTE ZD17.006979 du 12 juin 2018</w:t>
      </w:r>
    </w:p>
    <w:p>
      <w:r>
        <w:t>IT: VD_GERICHTE ZD17.006979 del 12 giugno 2018</w:t>
      </w:r>
    </w:p>
    <w:p>
      <w:pPr>
        <w:pStyle w:val="Heading2"/>
      </w:pPr>
      <w:r>
        <w:t>Erwägungen</w:t>
      </w:r>
    </w:p>
    <w:p>
      <w:r>
        <w:rPr>
          <w:b/>
        </w:rPr>
        <w:t>E. 27</w:t>
      </w:r>
    </w:p>
    <w:p>
      <w:r>
        <w:t>juillet 2013 consid. 2.2). b) D’après la jurisprudence, le principe inquisitoire, selon lequel les faits pertinents de la cause doivent être constatés d’office par l’autorité (art. 43 al. 1 LPGA), ne s’applique pas à la procédure prévue par l’art. 87 al. 2 RAI (ATF 130 V 64 consid. 5.2.5 ; TF 8C_308/2015 du 8 octobre 2015 consid. 3.2). Eu égard au caractère atypique de celle-ci dans le droit des assurances sociales, le Tribunal fédéral a précisé que l’administration pouvait appliquer par analogie l’art. 73 aRAI (en vigueur jusqu’au 31 décembre 2002 ; art. 43 al. 3 LPGA depuis le 1er janvier 2003) – qui permet aux organes de l’assurance-invalidité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 ATF 124 II 265 ; TF 9C_789/2012 du 27 juillet 2013 consid. 2.3).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w:t>
      </w:r>
    </w:p>
    <w:p>
      <w:r>
        <w:t>- 27 - TF 8C_308/2015 du 8 octobre 2015 consid. 3.2).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c) Dans un litige portant sur le bien-fondé du refus d’entrer en matière sur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(ATF 130 V 64 consid. 5.2.5 ; TF 8C_308/2015 du 8 octobre 2015 consid. 3.2 ; 9C_959/2011 du 6 août 2012 consid. 4.3). Il s’ensuit que les rapports médicaux déposés au cours de la procédure cantonale de recours – soit postérieurement à la décision administrative attaquée – ne doivent pas être pris en considération et examinés par le juge des assurances sociales dans un litige de ce genre (TF 9C_959/2011 du 6 août 2012 consid.4.3 ; I 597/05 du 8 janvier 2007 consid. 3.2 et 4.1). d) On précisera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 130 V 71 consid. 3.2 ; TF 9C_739/2010 du 1er juin 2011 consid. 2.1).</w:t>
      </w:r>
    </w:p>
    <w:p>
      <w:r>
        <w:t>- 28 - 4. a) D’emblée, il y a lieu de préciser que, conformément à la jurisprudence précitée (cf. consid. 3c supra), les cinq pièces produites par la recourante en annexe à ses écritures du 21 juin 2017, soit particulièrement l’avis médical du Dr A.________ du 17 avril 2017, ne sauraient être prises en considération dans le présent arrêt pour examiner l’existence d’une aggravation de son état de santé telle qu’alléguée. Ces pièces ont en effet été produites et établies au cours de la procédure de recours, soit postérieurement à la décision litigieuse, et il ne convient pas de surseoir à ce principe jurisprudentiel – fût-ce par souci d’opportunité et d’économie de la procédure – sous peine de le vider de sa portée juridique. Il est également relevé que le rapport médical de la Dresse P.________ du 9 juillet 2014 avait déjà été versé au dossier de la recourante auprès de l’intimé lorsque ce dernier avait rendu sa précédente décision de non-entrée en matière le 25 juillet 2014. Dans leur avis médical du 23 juillet 2014, les Drs W.________ et B.________ du SMR s’étaient d’ailleurs prononcés à son sujet. La décision de non-entrée en matière du 25 juillet 2014 a donc été rendue après examen notamment du rapport médical du 9 juillet 2014. Cette décision n’ayant pas fait l’objet d’un recours, elle est entrée en force. Partant, la recourante ne saurait produire à nouveau le même rapport médical de la Dresse P.________ du 9 juillet 2014 en annexe à sa nouvelle demande de prestations du 6 avril 2016. Il lui appartenait en effet, cas échéant, de recourir contre la décision du 25 juillet 2014 si elle estimait que ce rapport médical devait amener l’intimé à entrer en matière sur sa demande du 18 mars 2014. L’intimé a ainsi statué définitivement sur le fait que ledit rapport médical ne justifie pas une entrée en matière. Permettre à la recourante de faire porter une deuxième fois l’examen, au stade de l’entrée en matière, sur un même rapport médical reviendrait en définitive à autoriser tout assuré à reproduire continuellement les mêmes rapports en annexe de demandes de prestations successives, nécessitant à chaque fois un examen de l’intimé et faisant courir le risque de décisions contradictoires. Le rapport</w:t>
      </w:r>
    </w:p>
    <w:p>
      <w:r>
        <w:t>- 29 - médical de la Dresse P.________ du 9 juillet 2014 doit dès lors être écarté sans plus ample examen. b) Cela étant, la décision litigieuse étant une décision de non- entrée en matière sur la demande de la recourante du 6 avril 2016, il n’y a pas lieu d’examiner si, entre la dernière décision entrée en force et reposant sur un examen matériel du droit à la rente – soit la décision du 23 mars 2009, confirmée par arrêt du 28 septembre 2011 de la Cour de céans, et non la décision de non-entrée en matière du 25 juillet 2014 (contrairement à ce qu’a soutenu l’intimé dans son projet de décision du 17 novembre 2016 et dans la décision litigieuse) – et la décision litigieuse, un changement important des circonstances propres à influencer le degré d’invalidité – et donc le droit à la rente – s’est produit. Il faut au contraire se limiter à examiner si la recourante,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d’entrée en matière du 18 janvier 2017 et les circonstances prévalant à l’époque telles que constatées par l’arrêt du</w:t>
      </w:r>
    </w:p>
    <w:p>
      <w:r>
        <w:rPr>
          <w:b/>
        </w:rPr>
        <w:t>E. 28</w:t>
      </w:r>
    </w:p>
    <w:p>
      <w:r>
        <w:t>septembre 2011, et rendent plausible une aggravation de l’état de santé de la recourante, propre à influencer sa capacité de travail exigible. Vu ces éléments, l’intimé se devait, par sa décision du 18 janvier 2017, d’entrer en matière sur la demande de prestations de l’intéressée du 6 avril 2016. 5. a) En définitive, le recours doit être admis et la décision attaquée annulée, la cause étant renvoyée à l’intimé pour qu’il entre en matière sur le demande de prestations de la recourante du 6 avril 2016.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w:t>
      </w:r>
    </w:p>
    <w:p>
      <w:r>
        <w:t>- 35 - En l’espèce, compte tenu de l’ampleur de la procédure, les frais judiciaires doivent être arrêtés à 400 fr. et mis à la charge de l’intimé, qui succombe (art. 49 al. 1 LPA-VD ; art. 91 LPA-VD, applicable par renvoi de l’art. 99 LPA-VD). c) La recourante, qui obtient gain de cause avec le concours d’un mandataire professionnel, a droit à des dépens, dont le montant doit être déterminé, sans égard à la valeur litigieuse, d’après l’importance et la complexité du litige (art. 61 let. g LPGA ; art. 55 al. 1 LPA-VD ; art. 91 LPA- VD, applicable par renvoi de l’art. 99 LPA-VD) En l’occurrence, il se justifie d’allouer à la recourante une indemnité de 1'500 fr. à titre de dépens, portée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