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ZD17.006368 vom 21. November 2019</w:t>
      </w:r>
    </w:p>
    <w:p>
      <w:r>
        <w:t>VD Tribunal cantonal, 2019-11-21, FR</w:t>
      </w:r>
    </w:p>
    <w:p>
      <w:r>
        <w:rPr>
          <w:b/>
        </w:rPr>
        <w:t xml:space="preserve">Quelle: </w:t>
      </w:r>
      <w:r>
        <w:t>https://mcp.opencaselaw.ch/entscheid/vd_gerichte_ZD17.006368</w:t>
      </w:r>
    </w:p>
    <w:p>
      <w:r>
        <w:t>FR: VD_GERICHTE ZD17.006368 du 21 novembre 2019</w:t>
      </w:r>
    </w:p>
    <w:p>
      <w:r>
        <w:t>IT: VD_GERICHTE ZD17.006368 del 21 novembre 2019</w:t>
      </w:r>
    </w:p>
    <w:p>
      <w:pPr>
        <w:pStyle w:val="Heading2"/>
      </w:pPr>
      <w:r>
        <w:t>Erwägungen</w:t>
      </w:r>
    </w:p>
    <w:p>
      <w:r>
        <w:rPr>
          <w:b/>
        </w:rPr>
        <w:t>E. 13</w:t>
      </w:r>
    </w:p>
    <w:p>
      <w:r>
        <w:t>septembre 2011, non seulement sur le plan psychique, mais aussi sur le plan rhumatologique en raison du nouveau diagnostic posé par le Dr S.________ le 11 février 2013. Il indique avoir consulté le Dr S.________ le 10 janvier 2017 qui a confirmé le diagnostic de polyarthrite rhumatoïde séronégative dont il transmet le rapport du 10 février 2017 sous bordereau. Il ajoute que les experts auraient dû examiner concrètement et pas seulement théoriquement s’il était en mesure d’exercer effectivement une activité lucrative adaptée à son état de santé et à ses douleurs. Enfin, le recourant soutient que l’intimé ne pouvait pas se référer à la réponse de l’expert formulée au conditionnel, selon laquelle il « ne devrait pas présenter de diminution de capacité de rendement dans une activité professionnelle adaptée », sans même évoquer la nature et le type d’activité adaptée. Il dépose enfin un lot de pièces sous bordereau.</w:t>
      </w:r>
    </w:p>
    <w:p>
      <w:r>
        <w:t>- 13 - Dans sa réponse du 31 mai 2017, l’intimé retient que les renseignements amenés à l’appui du recours laissent à penser que la situation médicale a pu se modifier depuis juin 2015. Faute d’éléments suffisants pouvant déterminer la chronologie des événements et leur incidence sur la capacité de travail, l’intimé propose la mise en place d’une nouvelle expertise pluridisciplinaire. L’intimé transmet en outre un avis médical du 9 mai 2017 du SMR, lequel a notamment précisé ce qui suit : « Discussion et conclusion En fait nous pouvons admettre que l’efficacité du traitement débuté en janvier 2014 a pu expliquer la régression de la raideur matinale et des synovites et justifier les diagnostics posés par le Dr U.________. La réalité clinique a été en effet camouflée par le médicament et cette constatation est confirmée par le fait que, après interruption du traitement (à un moment pas précisé), le Prof S.________, en janvier 2017, a constaté la réapparition de la raideur matinale, des synovites et des enthésites, malgré un bilan biologique rassurant ne montrant pas de syndrome inflammatoire franche (d’ailleurs le bilan sanguin n’avait jamais été altéré). Nous pouvons dès lors admettre qu’actuellement l’assuré présente une polyarthrite périphérique active, difficile à gérer (pour différentes raisons dont une compliance faible au traitement de la part de l’assuré et le fait que l’atteinte en question a une présentation atypique) et incompatible avec l’exercice d’une quelconque activité lucrative. La date de l’aggravation peut être vraisemblablement fixée au moment où l’assuré a arrêté de prendre le traitement (Xeljanz). Par contre, au vu des effets évidents dans la régression de certains symptômes constatés par le Dr U.________, nous retenons qu’une prise en charge pourrait être exigée par l’assuré dans le but de réduire son dommage. En l’appui de notre suggestion, nous pouvons signaler que pendant la période de prise régulière du traitement entre janvier et juin 2014, l’expert avait constaté une amélioration clinique. Une réévaluation clinique est préconisée au moins 6-8 mois après le début du traitement ». Dans son écriture du 22 juin 2017, le recourant se rallie à la dernière détermination de l’intimé tendant à la mise en œuvre d’une expertise médicale pluridisciplinaire. Il dépose de nouveaux documents médicaux de ses médecins traitants.</w:t>
      </w:r>
    </w:p>
    <w:p>
      <w:r>
        <w:t>- 14 - D. Par courrier du 12 octobre 2017, la juge instructeur a informé les parties qu’une nouvelle évaluation médicale complète de l’état de santé du recourant s’imposait, laquelle a été confiée au Centre d'expertise X.________ [...]. Dans leur rapport de concilium bidisciplinaire faisant suite aux deux rapports d’expertise des 26 octobre et 18 novembre 2018, les Drs Y.________, spécialiste en rhumatologie, et Z.________, spécialiste en psychiatrie et psychothérapie, ont notamment posé les diagnostics de polyarthrite rhumatoïde, maladie inflammatoire chronique, et de fibromyalgie secondaire dont les interactions pouvaient engendrer des conséquences négatives sur le cours de l’arthrite et aussi sur le vécu de la douleur. Ils ont ainsi mis en évidence une aggravation de l’état de santé du recourant depuis novembre 2012/février 2013, période durant laquelle une polyarthrite s’était manifestée avec une limitation supplémentaire par l’état inflammatoire des articulations dans plusieurs régions de l’appareil locomoteur, compliquée dès novembre 2012 par une fibromyalgie secondaire dans le contexte d’un trouble somatoforme indifférencié préexistant depuis 1996. Dès lors, l’activité habituelle d’installateur de cheminée n’était plus possible depuis longtemps en raison du risque de chute. Dans le cadre d’une activité adaptée, les experts ont estimé qu’aucune activité n’était exigible depuis novembre 2012. Dans son écriture du 10 avril 2019, le recourant a conclu à l’octroi d’une rente entière d’invalidité à compter du 1er avril 2013, soit à l’échéance du délai de six mois à compter de la date à laquelle il avait déposé sa demande de prestations (art. 29 al. 1 LAI). Le 18 avril 2019, l’intimé, se référant à l’avis médical du SMR du 5 avril 2019, a estimé qu’il convenait de retenir une incapacité totale de travail dans toute activité lucrative entre novembre 2012 et probablement août 2014. Par contre, se posait la question de savoir s’il était exigible, d’un point de vue strictement médical, que le recourant exerce une activité lucrative non qualifiée, adaptée aux limitations fonctionnelles, entre août 2014 et octobre 2016. En outre, un traitement était exigible, sans plus de précisions. L’intimé a dès lors requis des experts des explications complémentaires.</w:t>
      </w:r>
    </w:p>
    <w:p>
      <w:r>
        <w:t>- 15 - Le 5 juin 2019, l’expert Y.________ a répondu aux questions précitées. Dans son écriture du 29 juillet 2019, le recourant a confirmé l’octroi d’une rente entière à compter du 1er avril 2013 et a produit les réponses du 10 juillet 2019 du Dr M.________ au questionnaire de son conseil. Dans ses déterminations du 12 août 2019, l’intimé s’est référé à un avis médical du 28 juin 2019 du SMR et a retenu une incapacité de travail totale entre novembre 2012 et août 2014, puis dès novembre 2016. Entre ces deux dates, la capacité de travail devait être considérée comme entière d’un point de vue médical. L’intimé a pris acte qu’un suivi et un traitement rhumatologiques réguliers s’avéraient nécessaires et exigibles. Le 20 août 2019, le recourant a maintenu sa position telle qu’exprimée dans son écriture du 29 juillet 2019. L’intimé s’est déterminé le 5 septembre 2019. Le recourant n’a pas procédé plus avant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w:t>
      </w:r>
    </w:p>
    <w:p>
      <w:r>
        <w:t>- 16 - compétent (art. 56 et 58 LPGA ; art. 69 al. 1 let. a LAI). Le recours doit être déposé dans les trente jours suivant la notification de la décision sujette à recours (art. 60 al. 1 LPGA). En l’espèce, formé en temps utile selon les formes prescrites par la loi (art. 61 let. b LPGA notamment), le recours est recevable. Il y a donc lieu d’entrer en matière. b) La LPA-VD (loi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l’espèce, est litigieuse la question de savoir si le recourant présente, en raison d’une atteinte à la santé, une diminution de sa capacité de travail et de sa capacité de gain susceptible de lui ouvrir le droit à des prestations de l’assurance-invalidité à la suite de sa nouvelle demande de prestations du 9 novembre 2012. Le litige porte singulièrement sur le point de savoir si son degré d’invalidité a subi une modification significative entre la décision sur opposition du 10 novembre 2004 confirmée par le Tribunal des assurances le 22 février 2006 (AI 186/04 – 77/2006) et la décision litigieuse du 11 janvier 2017.</w:t>
      </w:r>
    </w:p>
    <w:p>
      <w:r>
        <w:t>- 17 - 3.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l’art. 28 al. 2 LAI, l’assuré a droit à un quart de rente s’il est invalide à 40 % au moins, à une demi- rente s’il est invalide à 50 % au moins, à trois quarts de rente s’il est invalide à 60 % au moins et à une rente entière s’il est invalide à 70 % au moins. Il peut en outre prétendre à une mesure de reclassement s’il est invalide à 20 % environ (ATF 139 V 399 consid. 5.3 ; 130 V 488 consid. 4.2 ; 124 V 108 consid. 2b ; TF 9C_645/2016 du 25 janvier 2017 consid. 5.2).</w:t>
      </w:r>
    </w:p>
    <w:p>
      <w:r>
        <w:t>- 18 - c) Aux termes de l’art. 17 al. 1 LPGA, lorsque le taux d’invalidité du bénéficiaire du droit à la rente subit une modification notable, la rente est, d’office ou sur demande, révisée pour l’avenir, à savoir augmentée ou réduite en conséquence, ou encore supprimée. Selon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L’administration doit ainsi commencer par examiner si les allégations de l’assuré sont, d’une manière générale, plausibles. Si tel n’est pas le cas, l’affaire est liquidée d’entrée de cause et sans autres investigations par un refus d’entrer en matière. Quand l’administration entre en matière sur la demande de révision, elle doit examiner l’affaire au fond, et vérifier que la modification du degré d’invalidité rendue plausible par l’assuré est réellement intervenue. Si elle constate que l’invalidité ne s’est pas modifiée depuis la décision précédente, passée en force, elle rejette la demande. En cas de recours, le même devoir de contrôle quant au fond incombe au juge (ATF 117 V 198 consid. 3a et la référence ; TFA I 627/04 du 23 mai 2005 consid. 1.2).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 113 V 273 consid. 1a ; voir également ATF 112 V 371 consid. 2b et 112 V 387 consid. 1b). Une appréciation différente d’une situation demeurée inchangée pour l’essentiel ne constitue pas un motif de révision (TFA I 491/03 du 20 novembre 2003 consid. 2.2 in fine et les références). L’assurance- invalidité connaissant un système de rentes échelonnées, la révision se justifie lorsque le degré d’invalidité franchit un taux déterminant (ATF 133</w:t>
      </w:r>
    </w:p>
    <w:p>
      <w:r>
        <w:t>- 19 -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 130 V 343 consid. 3.5.2 ; 125 V 368 consid. 2 et la référence ; TF 9C_431/2009 du 3 novembre 2009 consid. 2.1 et les références). d)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Selon l’art. 88a al. 2 RAI, si la capacité de gain de l’assuré ou sa capacité d’accomplir les travaux habituels se dégrade, ce changement est déterminant pour l’accroissement du droit aux prestations dès qu’il a duré trois mois sans interruption notable ; l’art. 29bis RAI est toutefois</w:t>
      </w:r>
    </w:p>
    <w:p>
      <w:r>
        <w:t>- 20 - applicable par analogie. Selon cette disposition,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 TF 9C_718/2015 du 22 mars 2016 consid. 5.2).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 125 V 256 consid. 4 ; 115 V 133 consid. 2 ; TF 8C_160/2016 du 2 mars 2017 consid. 4.1). b) L’assureur social – et le juge des assurances sociales en cas de recours – doit examiner de manière objective tous les moyens de</w:t>
      </w:r>
    </w:p>
    <w:p>
      <w:r>
        <w:t>- 21 -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 133 V 450 consid. 11.1.3 ; 125 V 351 consid. 3a ; TF 9C_55/2016 du 14 juillet 2016 consid. 3.1).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 9C_600/2010 du 21 janvier 2011 consid. 2 ;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En ce qui concerne les rapports établis par le médecin traitant de l’assuré, le juge prendra en considération le fait que celui-ci peut être</w:t>
      </w:r>
    </w:p>
    <w:p>
      <w:r>
        <w:t>- 22 - enclin, en cas de doute, à prendre parti pour son patient en raison de la relation de confiance qu’ils ont nouée (ATF 125 V 351 consid. 3 et les références citées ; TF 4A_318/2016 du 3 août 2016 consid. 6.2). c)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9C_905/2015 du 29 août 2016 consid. 5.3.2 ; 9C_722/2014 du 29 avril 2015 consid. 4.1 ; 9C_748/2013 du 10 février 2014 consid. 4.1.1). L’existence de pièces médicales aboutissant à des conclusions apparemment contradictoires ne suffit en soi pas à justifier l’existence d’un doute minime quant à la pertinence d’avis de médecins employés par l’assurance (ATF 135 V 465 ; TF 9C_96/2017 du 3 août 2017 consid. 4.2.6). 5.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la fibromyalgie (ATF 132 V 65), le syndrome de fatigue chronique ou de neurasthénie (TF I 70/07 du 14 avril 2008), l’anesthésie dissociative et les atteintes sensorielles (TF I 9/07 du 9 février 2007, in SVR 2007 IV no 45 p. 149) ou encore les troubles moteurs dissociatifs (TF 9C_903/2007 du 30 avril 2008). b) Dans les cas de troubles somatoformes douloureux, il existait, jusqu’à l’arrêt rendu le 3 juin 2015 par le Tribunal fédéral en la cause 9C_492/2014 publié aux ATF 141 V 281, une présomption selon</w:t>
      </w:r>
    </w:p>
    <w:p>
      <w:r>
        <w:t>- 23 - laquelle cette atteinte à la santé ou ses effets pouvaient être surmontés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Dans un tel cas, en effet, l’assuré ne disposait pas des ressources nécessaires pour vaincre ses douleurs. La question de savoir si ces circonstances exceptionnelles étaient réunies devait être tranchée de cas en cas à la lumière de différents critères. On retenait, au premier plan, la présence d’une comorbidité psychiatrique importante par sa gravité, son acuité et sa durée. Pouvait constituer une telle comorbidité un état dépressif majeur.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on devait conclure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notamment TF 9C_547/2008 du 19 juin 2009 consid. 2.2 et références citées).</w:t>
      </w:r>
    </w:p>
    <w:p>
      <w:r>
        <w:t>- 24 - c) Dans l’ATF 141 V 281 cité ci-dessus, le Tribunal fédéral a modifié sa pratique en matière d’évaluation du droit à une rente de l’assurance-invalidité en cas de troubles somatoformes douloureux et d’affections psychosomatiques assimilées.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(ch. F 45.40 de la CIM [Classification internationale des maladies]-10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w:t>
      </w:r>
    </w:p>
    <w:p>
      <w:r>
        <w:t>- 25 - d’une constellation semblable, et ce même si les caractéristiques d’un trouble somatoforme douloureux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précité).</w:t>
      </w:r>
    </w:p>
    <w:p>
      <w:r>
        <w:t>- 26 -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précité).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(TF 9C_716/2015 du 30 novembre 2015 consid. 4.1 ; TAF C-1916/2015 du 31 mai 2016). 6. En l’espèce, l’intimé est entré en matière sur la quatrième demande de prestations AI déposée le 9 novembre 2012 par le recourant et a repris l’instruction en ordonnant notamment une expertise</w:t>
      </w:r>
    </w:p>
    <w:p>
      <w:r>
        <w:t>- 27 - bidisciplinaire, soit psychiatrique et rhumatologique. Il convient dès lors d’examiner si, entre la décision sur opposition du 10 novembre 2004 confirmée par l’arrêt entré en force du 22 février 2006 du Tribunal des assurances (AI 186/04 – 77/2006) et la décision litigieuse du 11 janvier 2017, l’état de santé du recourant s’est modifié de façon à influencer son droit à des prestations de l’assurance-invalidité, étant précisé que le Tribunal précité avait considéré que l’atteinte présentée par l’assuré (syndrome lombo-vertébral chronique sur discopathie L5-S1) ne l’empêchait pas d’exercer une activité adaptée à plein temps et que les troubles somatoformes dont il souffrait n’avaient pas un caractère invalidant. a) Pour se prononcer sur la quatrième demande de prestations, l’intimé a mis en œuvre une expertise bidisciplinaire (rhumatologique et psychiatrique). Dans son rapport du 4 juin 2015, l’expert U.________ a posé les diagnostics avec effet sur la capacité de travail de l’assuré de lombopygialgies récurrentes chroniques sans signe radiculaire irritatif ou déficitaire (avec discopathie L5-S1 et status post contusion lombaire en 1996), de cervico-brachialgies récurrentes (minime discopathie C5-C6) et de syndrome polyinsertionnel douloureux récurrent (diminution du seul de déclenchement de la douleur). Il a par contre estimé que les omalgies bilatérales étaient sans signe de conflit ou de tendinopathie et que les polyarthralgies d’origine incertaine avaient une PR séronégative sous Xeljanz® actuellement sans signe inflammatoire. L’ampleur de la symptomatologie résidait essentiellement dans le vécu douloureux chronique qui s’était cristallisé autour de douleurs rachidiennes diffuses et polyarticulaires fluctuantes et migrantes, s’étendant en taches d’huile. Finalement, l’intimé a rejeté la demande de prestations de l’assuré se fondant sur les constatations des experts U.________ et V.________ lesquels ont conclu que l’intéressé présentait une capacité de travail entière dans une activité adaptée. b) aa) Il sied de constater que le recourant est suivi depuis le 6 février 2013 par le Dr S.________, sa quatrième demande AI datant du 9 novembre 2012. Le Dr S.________ a d’emblée posé le diagnostic de</w:t>
      </w:r>
    </w:p>
    <w:p>
      <w:r>
        <w:t>- 28 - polyarthrite périphérique symétrique et a retenu une capacité de travail nulle dans l’activité habituelle et de 20 % dans une activité occupationnelle. L’assuré a essayé plusieurs médicaments durant l’année 2013 sous le contrôle du Dr S.________ : Arava, Méthrotrexate, Enbrel, Sypony : sans réponse objectivable. L’examen clinique mené par l’expert U.________ a eu lieu le 27 août 2014. Il n’a pas retenu le diagnostic de polyarthrite périphérique. Le 13 octobre 2015, le Dr S.________ a précisé que chez un patient traité (en l’occurrence par du Xeljanz®) ne présentant pas de synovite lors d’un examen ponctuel (en l’occurrence l’examen pratiqué par le Dr U.________) ne permettait nullement d’écarter un diagnostic confirmé par un confrère chez un patient qui a présenté à de multiples reprises des synovites cliniquement évidentes. Le 10 février 2017, le Dr S.________ a implicitement indiqué que le Xeljanz® semblait contrôler les tuméfactions, mais pas les douleurs articulaires ou enthésitiques, raison pour laquelle il a annoncé une capacité de travail nulle dans toute activité. Finalement, le 2 mai 2017, sans se prononcer sur la capacité de travail de l’assuré, le Dr S.________ a constaté que si le Xeljanz® était mal toléré, il avait pour conséquence que le patient avait un peu moins mal. Il débutait un traitement Otezla tout en effectuant une demande de garantie pour le Cisentyx si le traitement précédent était mal toléré. Au vu des éléments précités, une nouvelle évaluation médicale complète de l’état de santé du recourant sous forme d’une expertise judiciaire s’imposait afin de déterminer si le diagnostic de polyarthrite rhumatoïde avait ou non des effets sur la capacité sur la capacité de travail et en cas de réponse positive, si l’incapacité de travail était temporaire ou définitive et depuis quelle date. bb) Sur le plan psychique, l’expert Z.________ a considéré que le trouble d’anxiété généralisé, le trouble panique et le trouble somatoforme douloureux n’avaient pas de répercussion sur la capacité de travail de l’assuré, mais affectaient tous les domaines de la vie dès lors qu’ils génèrent des entraves aux relations interpersonnelles. Dans leur rapport de concilium bidisciplinaire faisant suite aux deux rapports</w:t>
      </w:r>
    </w:p>
    <w:p>
      <w:r>
        <w:t>- 29 - d’expertise des 26 octobre et 18 novembre 2018, les experts ont retenu essentiellement les diagnostics de polyarthrite rhumatoïde, maladie inflammatoire chronique, et de fibromyalgie secondaire dont les interactions pouvaient engendrer des conséquences négatives sur le cours de l’arthrite et aussi sur le vécu de la douleur. Ils ont ainsi mis en évidence une aggravation de l’état de santé du recourant depuis novembre 2012/février 2013, période durant laquelle une polyarthrite s’était manifestée avec une limitation supplémentaire par l’état inflammatoire des articulations dans plusieurs régions de l’appareil locomoteur, compliquée dès novembre 2012 par une fibromyalgie secondaire dans le contexte d’un trouble somatoforme indifférencié préexistant depuis 1996. Dès lors, l’activité habituelle d’installateur de cheminées n’était plus possible depuis longtemps en raison du risque de chute. Dans le cadre d’une activité adaptée, les experts ont estimé qu’aucune activité n’était exigible depuis novembre 2012. Ils ont exposé que pendant les décompensations inflammatoires de l’arthrite rhumatoïde, avec des manifestations inflammatoires cliniquement manifestes (tendinites, synovites), la capacité de travail, ainsi que le rendement devenaient pratiquement inexistants en raison de la douleur articulaire et de la limitation fonctionnelle dérivant de l’inflammation. Finalement, l’arthrite rhumatoïde n’était pas suffisamment contrôlée pour permettre une réhabilitation professionnelle. Ils ont en outre relevé que la présence d’une fibromyalgie secondaire amplifiait les symptômes inflammatoires (tels que les arthralgies et les myalgies, qui font déjà partie du tableau clinique de l’arthrite, notamment si décompensée en l’absence de tout traitement de base ou non contrôlée d’une façon optimale. Ils ont en outre précisé que la présence de la fibromyalgie induit – de façon indépendante des troubles inflammatoires et dégénératifs – une exacerbation de la douleur. Elle s’accompagnait d’un manque de motivation (mauvaise adhérence thérapeutique), notamment pour une réinsertion professionnelle (manque d’espoir, de motivation). Ils ont ainsi expliqué qu’au vu de la perception de sa douleur, initialement dans le cadre d’un trouble somatoforme, qui satisfait à partir de novembre 2012 les critères diagnostiques d’une « fibromyalgie secondaire à l’arthrite rhumatoïde », qui s’est développée dans le contexte d’un trouble du traitement de la douleur préexistant</w:t>
      </w:r>
    </w:p>
    <w:p>
      <w:r>
        <w:t>- 30 - d’abord sans substrat organique manifeste, l’assuré ne ressent aucun soulagement par aucun traitement, et en principe, n’en voit pas l’utilité, même lors d’une mise en évidence d’une amélioration clinique sous Xeljanz® (p. 7). Ces attitudes peuvent aussi être à l’origine d’une adhérence thérapeutique non optimale, qui comporte le risque d’une rechute inflammatoire de l’arthrite qui a un impact sur la capacité de travail. Finalement, ces attitudes de désarroi face à la symptomatologie douloureuse à caractère complexe ont actuellement atteint presque toutes les sphères de la vie, avec une tendance au repli social total, induit aussi par une composante inflammatoire parfois coexistant (entraînant une fatigue et une raideur matinale persistant pendant plusieurs heures, surtout en l’absence de traitement). Dans ces conditions, une mobilisation de quelques ressources n’est pas facile à imaginer, la seule ressource étant constituée par la famille avec qui il semble isolé. cc) Au vu des éléments précités, il y a lieu de retenir une aggravation de l’état de santé de l’assuré sur la base du nouveau diagnostic de polyarthrite rhumatoïde compliquée par une fibromyalgie secondaire entraînant une incapacité de travail totale dans toute activité depuis novembre 2012. L’intimé s’est rallié aux conclusions du consilium bidisciplinaire des médecins du Centre d'expertise X.________, sous réserve de la période allant d’août 2014 à octobre 2016, constatant que, durant la période précitée, la polyarthrite séronégative était en rémission en raison du traitement Xeljanz® débuté en janvier 2014. S’il est admis que d’août 2014 à octobre 2016, le recourant continuait à présenter une polyarthrite rhumatoïde, se pose la question de savoir si cette pathologie était alors en rémission complète en raison de l’absence de syndrome inflammatoire et de tuméfaction articulaire démontrable, élément contesté par le recourant. Il ressort du dossier que le recourant est suivi depuis le 6 février 2013 par le Dr S.________, et qu’il a débuté en janvier 2014 un traitement de Xeljanz®, médicament qu’il prenait à raison de 2X/jour lors de l’expertise du Dr U.________ (rapport, p. 5), étant précisé qu’il ne consultait plus le Dr S.________ depuis le 28 janvier 2014. Par certificat</w:t>
      </w:r>
    </w:p>
    <w:p>
      <w:r>
        <w:t>- 31 - médical du 3 octobre 2016, le Dr M.________ a mentionné que dès le 7 janvier 2014, le recourant n’avait plus consulté son médecin traitant, ni son psychiatre traitant en raison de problèmes de santé de son épouse, opérée à quatre reprises durant ces deux dernières années, ajoutant que son patient « se plaint actuellement d’une recrudescence des douleurs articulaires au niveau des mains, des doigts, des épaules, du rachis et des genoux ». C’est dans ce contexte qu’un complément d’expertise a été ordonné afin de déterminer si la polyarthrite rhumatoïde étant en rémission complète sous l’effet du traitement de Xeljanz®. Se référant aux données à disposition, l’expert Y.________ a considéré que la rémission était complète, car à l’ultra-sonographie des genoux, des coudes, des poignets, MCP, IPP et IPD du 27 août 2014, il y avait une « absence de signe de synovite, absence de collection liquidienne, absence de rehaussement au Doppler, score sonar 0.22 en mode palmaire, et 0.22 en mode Doppler ». A la radiographie des mains des deux côtés et des pieds des deux côtés, il n’y avait pas de trouble dégénératif, ni de signe d’érosion à remarquer (cf. complément d’expertise du 5 juin 2019). De plus, une ultrasonographie des épaules du 27 août 2014 montrait une bonne visualisation des muscles sous-épineux et sous-scapulaires : absence de signe de rupture, même partielle, absence de tendinopathie, intégrité tendineuse conservée, absence de collection liquidienne. En ce qui concerne la valeur de maladie de la fibromyalgie secondaire comme entité en soi-même, isolée, du point de vue théorique médico-assurantiel, dans le cas d’une rémission complète d’une polyarthrite rhumatoïde, dès août 2014, l’expert a retenu qu’une activité légère à 100 % était exigible. L’expert Y.________ n’a pas pu déterminer à quel moment l’assuré avait décidé d’arrêter le traitement de Xeljanz®, élément que l’intéressé n’a jamais précisé dans le cadre de la procédure de recours. Dans ce contexte, l’expert Y.________ s’est référé à un élément objectif à avoir le certificat médical du Dr M.________ du 3 octobre 2016, date à laquelle le médecin précité a relevé une recrudescence des douleurs articulaires, conclusion qui est cohérente et qui n’est pas remise en cause de manière déterminante par les rapports des autres médecins. Ainsi, dans son courrier du 13 octobre 2015 au conseil de l’assuré, le Dr S.________ précisait que son patient était actuellement au bénéfice d’un traitement</w:t>
      </w:r>
    </w:p>
    <w:p>
      <w:r>
        <w:t>- 32 - de Xeljanz®. Lors de la reprise de consultation le 10 janvier 2017, le Dr S.________ a constaté que son patient n’avait plus aucun traitement pour sa polyarthrite depuis de nombreux mois (cf. bordereau de pièces, n°18, courrier du 10 février 2017), sans plus de précision. Les réponses fournies par le Dr M.________ le 8 juillet 2019 au questionnaire établi par le conseil du recourant ne permettent pas d’appréhender la situation de manière différente. Outre le fait qu’il n’explique pas pour quel motif ses réponses du 10 juillet 2019 contredisent la teneur de son certificat médical du 3 octobre 2016, il n’a nullement indiqué à partir de quelle date son patient avait cessé le traitement de Xeljanz®, se limitant à préciser qu’il ne lui avait jamais prescrit ce médicament. Enfin, il a été établi que durant cette période, le recourant n’a bénéficié d’aucun contrôle rhumatologique, alors qu’un suivi et un traitement rhumatologiques réguliers s’avèrent nécessaires. c) Au vu des éléments précités, il convient de retenir que la capacité de travail de l’assuré était entière dans une activité adaptée dès le 24 août 2014, date de l’examen clinique pratiqué par l’expert U.________. En effet, comme le retiennent les experts du Centre d'expertise X.________, après chaque changement de traitement, il faut environ trois jusqu’à six mois pour obtenir un effet clinique significatif et juger de l’efficacité du traitement, lequel en l’occurrence a été mis en place à la fin janvier 2014. La capacité de travail est par contre nulle dès le 3 octobre 2016, date à laquelle le Dr M.________ a fait état d’une recrudescence des douleurs et a attesté une incapacité totale de travail, ce qui doit être assimilé à une rechute, respectivement une aggravation de l’état de santé du recourant entraînant une totale incapacité de travail selon les experts du Centre d'expertise X.________. Il n’appartient toutefois pas à la Cour de céans de se prononcer sur les faits postérieurs à la décision litigieuse du 11 janvier 2017. 7. a) En l’espèce, les conditions du droit à une rente telles que prévues par l’art. 28 LAI sont réalisées. Selon la jurisprudence, l’art. 17 LPGA sur la révision d’une rente en cours s’applique également à la décision par laquelle une rente échelonnée dans le temps est accordée</w:t>
      </w:r>
    </w:p>
    <w:p>
      <w:r>
        <w:t>- 33 - avec effet rétroactif – comme c’est le cas en l’espèce –, la date de la modification étant déterminée conformément à l’art. 88a RAI (ATF 131 V 164 consid. 2.2 ; 125 V 413 consid. 2d ; TF 9C_900/2013 consid. 6.2 et les références). En l’occurrence, le recourant a présenté une incapacité de travail d’au moins 40 % du 12 novembre 2012 au 24 août 2014, ceci sans interruption et une année après la survenance de l’incapacité, celle-ci était toujours de 40 %. Le recourant a déposé sa demande le 12 novembre 2012. Le droit à la rente prend naissance au plus tôt à l’échéance d’une période de six mois à compter de cet acte (art. 29 al. 1 LAI), pour autant que l’incapacité de travail d’au moins 40 % ait duré une année sans interruption notable (art. 28 al. 1 let. b LAI). Dès lors, le recourant a droit à une rente entière d’invalidité à compter du 1er novembre 2013 (art. 29 al. 3 LAI). b) aa) Dès le mois d’août 2014, l’assuré a recouvré une pleine capacité de travail dans une activité adaptée, soit excluant le port de charges en porte-à-faux avec long bras de levier de manière répétitive de plus de 10 kg. Force est ainsi de constater que la comparaison des revenus tels qu’elle se présentait lors de la décision initiale de refus de rente du 21 janvier 2004 (taux d’invalidité de 11 %) ne peut être entièrement reprise, dès lors que le revenu d’invalide avait été établi en référence aux DPT retenues par la CNA. bb)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Pour procéder à la comparaison des revenus, il convient de se placer au moment de la</w:t>
      </w:r>
    </w:p>
    <w:p>
      <w:r>
        <w:t>- 34 - naissance du droit à une éventuelle rente de l’assurance-invalidité (ATF 129 V 222 consid. 4.1 ; 128 V 174) et de tenir compte de l’évolution des salaires jusqu’à ce moment (ATF 134 V 322 consid. 4.1 ; TF 9C_725/2015 du 5 avril 2016 consid. 4.1).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129 V 472 consid. 4.2.1 ; TF 9C_900/2009 du 27 avril 2010 consid. 3.3 ; TF 9C_609/2009 du 15 avril 2010 consid. 8.2.2). On se réfère alors à la statistique des salaires bruts standardisés, en se fondant toujours sur la médiane ou valeur centrale (ATF 124 V 321 consid. 3b/bb ; TF 9C_93/2008 du 19 janvier 2009 consid. 6.3.3 ; TF I 7/06 du 12 janvier 2007 consid. 5.2 ; Pratique VSI 5/1999 p. 182).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 cc ; TF 9C_297/2011 du 31 janvier 2012 consid. 4.1.2 ; 9C_704/2008 du 6 février 2009 consid. 3). Il ne faut pas procéder à une déduction d’office, mais uniquement si des indices montrent qu’en raison d’un ou plusieurs</w:t>
      </w:r>
    </w:p>
    <w:p>
      <w:r>
        <w:t>- 35 - facteurs déterminants, un assuré ne peut exploiter sa capacité de travail résiduelle sur le marché ordinaire de l’emploi qu’en réalisant un revenu inférieur à la moyenne (ATF 134 V 322 consid. 5.2 ; TF 9C_437/2015 du 30 novembre 2015 consid. 2.2 ; 8C_711/2012 du 16 novembre 2012 consid. 4.2.1). cc) En l’espèce, le moment déterminant pour la comparaison des revenus est l’année 2014. Dès lors que le recourant n’a pas repris d’activité lucrative dans une activité adaptée et ne dispose pas de formation professionnelle, le revenu d’invalide doit être déterminé selon les données statistiques de l’ESS en se référant au revenu mensuel brut pour une activité simple et répétitive. Il convient de se référer au salaire auquel pouvaient prétendre les hommes effectuant des tâches physiques ou manuelles simples dans le secteur privé (production et services) en 2014, année de la naissance du droit à la rente, soit 5'312 fr. par mois, part au 13ème salaire comprise. Adapté à l’horaire de travail hebdomadaire moyen de 41,7 heures dans les entreprises suisses en 2014, ce montant a été porté à 5'537 fr. 76, ce qui donne un salaire hypothétique d’invalide de 66'453 francs. Le revenu sans invalidité était de 58'649 fr. (montant indexé à l’année 2004) en qualité de monteur de cheminées, ce qui correspond en 2014 (+5.9 %) à un montant de 62'082 francs. Même avec une réduction de 25 % du salaire d’invalide, le taux d’invalidité minimum de 40 % n’est pas atteint. En effet, une fois la déduction maximale de 25 % effectuée, le salaire d’invalide s’élève à 49'840 fr., d’où une perte de gain de 12'242 fr., soit un taux d’invalidité de 18,42 %. Ainsi, même avec un taux d’abattement maximum, le taux d’invalidité serait inférieur à 40 % et n’ouvrirait dès lors pas le droit à une rente d’invalidité (art. 28 al. 2 LAI). dd) L’amélioration de l’état de santé ayant duré plus de trois mois sans interruption notable depuis le 24 août 2014, elle justifie une</w:t>
      </w:r>
    </w:p>
    <w:p>
      <w:r>
        <w:t>- 36 - révision du droit à la rente, soit, en l’occurence, sa suppression, à partir du 1er décembre 2014 (cf. art. 88a al. 1 RAI). c) Finalement, le recourant a subi une rechute le 3 octobre 2016 et présente dès lors une incapacité totale de travail de même origine. Par conséquent, le recourant peut immédiatement être mis au bénéfice d’une rente entière soit dès le 1er octobre 2016 conformément à l’art. 29bis RAI. 8. a) Il résulte de ce qui précède que le recours doit être partiellement admis et entraîne une réforme de la décision litigieuse dans le sens de l’octroi d’une rente entière d’invalidité du 1er novembre 2013 au 30 novembre 2014, puis dès le 1er octobre 2016.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l’intimé qui succombe, sont arrêtés à 400 francs. c) Obtenant gain de cause, le recourant, assisté d’un mandataire professionnel, a par ailleurs droit à des dépens (art. 61 let. g LPGA et 55 al. 1 LPA-VD, applicable par renvoi des art. 91 et 99 LPA-VD). Selon l’art. 11 al. 2 TFJDA (tarif du 28 avril 2015 des frais judiciaires et des dépens en matière administrative ; BLV 173.36.5.1), les honoraires sont fixés d’après l’importance et la complexité du litige, sans égard à la valeur litigieuse, et sont en règle générale compris entre 500 et 10'000 francs. En l’occurrence, l’importance et la complexité du litige justifient l’allocation d’une indemnité de 2'500 fr. à titre de dépens, portée à la charge de l’intimé.</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