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ZD17.002083 vom 17. Mai 2019</w:t>
      </w:r>
    </w:p>
    <w:p>
      <w:r>
        <w:t>VD Tribunal cantonal, 2019-05-17, FR</w:t>
      </w:r>
    </w:p>
    <w:p>
      <w:r>
        <w:rPr>
          <w:b/>
        </w:rPr>
        <w:t xml:space="preserve">Quelle: </w:t>
      </w:r>
      <w:r>
        <w:t>https://mcp.opencaselaw.ch/entscheid/vd_gerichte_ZD17.002083</w:t>
      </w:r>
    </w:p>
    <w:p>
      <w:r>
        <w:t>FR: VD_GERICHTE ZD17.002083 du 17 mai 2019</w:t>
      </w:r>
    </w:p>
    <w:p>
      <w:r>
        <w:t>IT: VD_GERICHTE ZD17.002083 del 17 maggio 2019</w:t>
      </w:r>
    </w:p>
    <w:p>
      <w:pPr>
        <w:pStyle w:val="Heading2"/>
      </w:pPr>
      <w:r>
        <w:t>Erwägungen</w:t>
      </w:r>
    </w:p>
    <w:p>
      <w:r>
        <w:rPr>
          <w:b/>
        </w:rPr>
        <w:t>E. 2</w:t>
      </w:r>
    </w:p>
    <w:p>
      <w:r>
        <w:t>Il manque une cohérence claire entre les diagnostics, la pauvreté des cliniques et l’IT retenue qui semble fondée essentiellement sur les dires et les attitudes de l’assuré.</w:t>
      </w:r>
    </w:p>
    <w:p>
      <w:r>
        <w:rPr>
          <w:b/>
        </w:rPr>
        <w:t>E. 3</w:t>
      </w:r>
    </w:p>
    <w:p>
      <w:r>
        <w:t>Une partie des plaintes, les cervico-brachialgies, sont survenues après la décision querellée.</w:t>
      </w:r>
    </w:p>
    <w:p>
      <w:r>
        <w:rPr>
          <w:b/>
        </w:rPr>
        <w:t>E. 4</w:t>
      </w:r>
    </w:p>
    <w:p>
      <w:r>
        <w:t>Nous laissons bien évidemment à la Cour l’appréciation de la valeur probante du texte qui, à nos yeux, est inférieure à celle de la Clinique B.________ qui a fondé les décisions des Offices. » Par courrier du 19 juin 2018, Y.________ a déclaré qu’il n’y avait pas lieu de s’écarter du rapport d’expertise de la Policlinique Médicale R.________, sous réserve de l’appréciation de la capacité de travail. A cet égard, il a joint un rapport du 28 mai 2018 du Dr N.________, médecin-chef adjoint auprès du Service d’anesthésiologie et de réanimation de l’Hôpital P.________, dans lequel il estimait qu’une capacité de travail de 50% serait plus en adéquation avec la situation de l’assuré. D. Par décision du 23 janvier 2017, le magistrat instructeur a accordé à Y.________ le bénéfice de l’assistance judiciaire avec effet au 17</w:t>
      </w:r>
    </w:p>
    <w:p>
      <w:r>
        <w:t>- 13 - janvier 2017. Tout en étant exonéré du paiement d’avances et de frais judiciaires, il était astreint au paiement d’une franchise mensuelle de 50 fr. dès et y compris le 1er mars 2017. Un conseil d’office en la personne de Me Carine Gendre Rohrbach lui a été désigné. Me Emmanuelle Martinez- Favre lui a succédé dans la défense des intérêts de l’assuré (cf. courrier du 15 mars 2019).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69 al. 1 let. a LAI), dans les trente jours suivant leur notification (art. 60 al. 1 LPGA). b) En l’occurrence, déposé en temps utile compte tenu de la suspension du délai durant les féries de Noël (art. 38 al. 4 let. c et 60 al. 2 LPGA) auprès du tribunal compétent (art. 93 let. a LPA-VD [loi cantonale vaudoise du 28 octobre 2008 sur la procédure administrative ; BLV 173.36]) et respectant les autres conditions formelles prévues par la loi (art. 61 let. b LPGA notamment), le recours est recevable. 2. Le refus de rente tel que prévu par la décision du 8 juillet 2010 étant entré en force à la suite de l’arrêt rendu par la Cour de céans le 2 décembre 2010, la question litigieuse est celle de savoir si une péjoration de l’état de santé du recourant postérieure à cette date justifie l’allocation de nouvelles prestations et, le cas échéant, dans quelle mesure. 3. a) Est réputée invalidité l’incapacité de gain totale ou partielle qui est présumée permanente ou de longue durée, résultant d’une infirmité congénitale, d’une maladie ou d’un accident (art. 8 al. 1 LPGA et</w:t>
      </w:r>
    </w:p>
    <w:p>
      <w:r>
        <w:t>- 14 -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w:t>
      </w:r>
    </w:p>
    <w:p>
      <w:r>
        <w:rPr>
          <w:b/>
        </w:rPr>
        <w:t>E. 6</w:t>
      </w:r>
    </w:p>
    <w:p>
      <w:r>
        <w:t>LPGA). b) En vertu de l’art. 28 al. 2 LAI, l’assuré a droit à un quart de rente s’il est invalide à 40% au moins, à une demi-rente s’il est invalide à 50% au moins, aux trois-quarts d’une rente s’il est invalide à 60% au moins et à une rente entière s’il est invalide à 70% au moins. c) Les atteintes à la santé psychique peuvent, comme les atteintes physiques, entraîner une invalidité au sens de l’art. 4 al. 1 LAI en lien avec l’art. 8 LPGA. d) Aux termes de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Une augmentation du taux d’invalidité est établie, notamment, dès qu’une dégradation déterminante de la capacité de gain a duré trois mois sans interruption notable (art. 88a al. 2 RAI [règlement fédéral du 17 janvier 1961 sur l’assurance-invalidité ; RS 831.201]). La</w:t>
      </w:r>
    </w:p>
    <w:p>
      <w:r>
        <w:t>- 15 - rente peut être révisée non seulement en cas de modification sensible de l'état de santé, mais aussi lorsque celui-ci est resté en soi le même, mais que ses conséquences sur la capacité de gain ont subi un changement important (ATF 130 V 343 consid. 3.5 ; 113 V 273 consid. 1a).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TF 9C_97/2011 du 21 juillet 2011 consid. 4). 4. a) Pour pouvoir fixer le degré d’invalidité, l’administration – en cas de recours, le juge – se base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w:t>
      </w:r>
    </w:p>
    <w:p>
      <w:r>
        <w:t>- 16 -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5. a) Dans la décision dont est recours, l’office AI a considéré qu’en l’absence d’élément médical nouveau, il n’y avait pas lieu de retenir une aggravation de l’état de santé du recourant par rapport à la décision du 8 juillet 2010 – confirmée par arrêt de la Cour de céans du 2 décembre suivant –, de sorte qu’un réexamen de la capacité de travail raisonnablement exigible ne se justifiait pas. Si la capacité de travail était</w:t>
      </w:r>
    </w:p>
    <w:p>
      <w:r>
        <w:t>- 17 - nulle dans l’activité habituelle de poseur de panneaux solaires, elle était en revanche entière dans une profession adaptée, telle que celle de chauffeur de minibus scolaire. La comparaison des revenus avec et sans invalidité débouchait sur un degré d’invalidité de 17,93%, insuffisant pour ouvrir le droit à une rente. De son côté, le recourant a contesté la manière de voir de l’office AI en faisant valoir que son état de santé s’était aggravé depuis le</w:t>
      </w:r>
    </w:p>
    <w:p>
      <w:r>
        <w:rPr>
          <w:b/>
        </w:rPr>
        <w:t>E. 8</w:t>
      </w:r>
    </w:p>
    <w:p>
      <w:r>
        <w:t>a)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 et mis à la charge de l’office AI, qui succombe. b) Obtenant gain de cause, le recourant, assisté d’un mandataire professionnel, a par ailleurs droit à des dépens (art. 61 let. g LPGA et 55 al. 1 LPA-VD, applicable par renvoi de l’art. 99 al. 1 LPA-VD). Selon l’art. 11 TFJDA (tarif cantonal vaudois du 28 avril 2015 des frais judiciaires et des dépens en matière administrative ; BLV 173.36.5.1), les honoraires sont fixés d’après l’importance et la complexité du litige, sans égard à la valeur litigieuse, et sont en règle générale compris entre 500 et 10'000 francs.</w:t>
      </w:r>
    </w:p>
    <w:p>
      <w:r>
        <w:t>- 23 - En l’espèce, l’importance et la complexité du litige justifient l’allocation d’une indemnité de 2'000 fr. à titre de dépens, portée à la charge de l’intimé. c)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Me Gendre Rohrbach – à laquelle Me Emmanuelle Martinez- Favre a succédé dans la défense des intérêts du recourant (cf. courrier du 15 mars 2019) – a produit le 21 janvier 2019 le relevé des opérations effectuées pour le compte du recourant. Son activité a été contrôlée au regard de la conduite du procès et rentre globalement dans le cadre de l’accomplissement du mandat confié. Pour les années 2016 et 2017, il convient d’arrêter la durée totale des opérations effectuées à 19 heures et 42 minutes entre le 5 décembre 2016 et le 31 octobre 2017 (en ce qui concerne la rétroactivité de la couverture, cf. ATF 122 I 203 consid. 2a, 2c et 2f ; JdT 1997 I 604 ; cf. aussi art. 118 al. 1 let. c CPC et 119 al. 4 CPC) au tarif horaire de 180 fr. (art. 2 al. 1 let. a RAJ [règlement cantonal vaudois du 7 décembre 2010 sur l’assistance judiciaire en matière civile ; BLV 211.02.3]), soit un montant s’élevant à 3'546 fr. auquel il y a lieu d’ajouter la TVA de 8%, soit un montant de 3'829 fr. 70.</w:t>
      </w:r>
    </w:p>
    <w:p>
      <w:r>
        <w:t>- 24 - Pour les années 2018 et 2019, on ne voit pas, à la date du 21 janvier 2019, quel arrêt est susceptible, dans le cadre de la présente procédure, de faire l’objet d’un recours au Tribunal fédéral, de sorte qu’il convient de retrancher les deux heures annoncées en lien avec cette démarche, ce qui ramène la durée totale des prestations accomplies du 8 janvier 2018 au 21 janvier 2019 à 9 heures et 48 minutes, au tarif horaire de 180 fr. (art. 2 al. 1 let. a RAJ), soit 1'764 fr. auquel il y a lieu d’ajouter la TVA de 7,7%, soit un montant de 1'899 fr. 80. A ces montants, il convient d’ajouter les débours fixés forfaitairement à 5% du défraiement hors taxe (art. 3bis al. 1 RAJ), avec TVA au taux de 7,7% en sus, soit 285 fr. 95. L’indemnité totale sera donc arrêtée à 6'015 fr. 45. Cette rémunération n’est que partiellement couverte par les dépens devant être acquittés par l’intimé, de sorte que le solde à hauteur de 4'015 fr. 45 est provisoirement supporté par l’Etat (cf. art. 122 al. 2 CPC, applicable par renvoi de l’art. 18 al. 5 LPA-VD). Le recourant est rendu attentif au fait qu’il est tenu de rembourser la somme de 4’015 fr. 45 dès qu’il sera en mesure de le faire en vertu de l’art. 123 al. 1 CPC précité. Il incombera au Service juridique et législatif d’en fixer les modalités, en tenant compte des montants payés à titre de contribution mensuelle depuis le début de la procédure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