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ZD17.001879 vom 12. Mai 2017</w:t>
      </w:r>
    </w:p>
    <w:p>
      <w:r>
        <w:t>VD Tribunal cantonal, 2017-05-12, FR</w:t>
      </w:r>
    </w:p>
    <w:p>
      <w:r>
        <w:rPr>
          <w:b/>
        </w:rPr>
        <w:t xml:space="preserve">Quelle: </w:t>
      </w:r>
      <w:r>
        <w:t>https://mcp.opencaselaw.ch/entscheid/vd_gerichte_ZD17.001879</w:t>
      </w:r>
    </w:p>
    <w:p>
      <w:r>
        <w:t>FR: VD_GERICHTE ZD17.001879 du 12 mai 2017</w:t>
      </w:r>
    </w:p>
    <w:p>
      <w:r>
        <w:t>IT: VD_GERICHTE ZD17.001879 del 12 maggio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w:t>
      </w:r>
    </w:p>
    <w:p>
      <w:r>
        <w:t>- 6 - expresses (art. 1 al. 1 LAI [loi fédérale du 19 juin 1959 sur l’assurance- invalidité ; RS 831.20]). Les décisions portant sur l’ordonnancement de la procédure – au sens de décisions incidentes (cf. Thierry Tanquerel, Manuel de droit administratif, Genève/Zurich/Bâle 2011, n. 828, p. 284 ss ; Ueli Kieser, ATSG-Kommentar, Zurich/Bâle/Genève 2009, n. 30 ad art. 52 LPGA) – ne peuvent être attaquées par voie d’opposition (cf. art. 52 al. 1 LPGA), de sorte qu’elles sont directement attaquables par la voie du recours devant les tribunaux des assurances institués par les cantons (cf. art. 56 al. 1 et 57 LPGA).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c) En vertu des art. 74 et 75 LPA-VD (applicables par renvoi de l’art. 99 LPA-VD), pour pouvoir recourir en instance cantonale à l’encontre de décisions incidentes,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faut, en principe, conférer à la partie qui conteste le choix de l’expert un intérêt digne de protection pour déférer une décision incidente sur le choix de l’expert devant la juridiction cantonale ; il en va de même pour l’admission de la condition du préjudice irréparable (ATF 139 V 339 consid. 4.4 ; ATF 138 V 271 consid. 1 ; ATF 137 V 210 consid. 3.4.2.6 et 3.4.2.7).</w:t>
      </w:r>
    </w:p>
    <w:p>
      <w:r>
        <w:t>- 7 - d) En l’espèce, il n’y a pas de circonstances qui s’opposent à admettre que les conditions des art. 74 et 75 LPA-VD soient remplies. Le recours a par ailleurs été déposé en temps utile auprès du tribunal compétent. Il respecte les formes prescrites par la loi, de sorte qu’il est recevable.</w:t>
      </w:r>
    </w:p>
    <w:p>
      <w:r>
        <w:rPr>
          <w:b/>
        </w:rPr>
        <w:t>E. 2</w:t>
      </w:r>
    </w:p>
    <w:p>
      <w:r>
        <w:t>La question de la composition de la cour pour statuer sur ce type de litige – à un seul ou à trois juges (art. 94 LPA-VD) – a fait l’objet d’une concertation au sens de l’art. 38 ROTC (règlement organique du Tribunal cantonal du 13 novembre 2007 ; RSV 173.31.1 ; voir également arrêt de la Cour de céans du 26 août 2013 en la cause AI 143/12 consid. 1a). A ce stade de la procédure administrative à laquelle l’intimé n’a pas encore mis fin, la présente contestation n’a pas trait au droit aux prestations de l’assurance-invalidité demandées au fond – lequel pourrait du reste ne pas être contesté –, mais à l’ordonnancement de la procédure, par la mise en œuvre d’une mesure destinée à compléter l’instruction. La contestation est ainsi de nature incidente, ayant en l’espèce pour objet la désignation par l’intimé du Dr D.________ en qualité d’expert. En pareil cas, les membres de la Cour considèrent qu’il n’y a pas à déroger à la règle de la composition ordinaire à trois juges au sens de l’art. 94 LPA-VD (cf. aussi art. 37 al. 4 ROTC), à moins que la valeur litigieuse de la procédure principale n’atteigne pas 30'000 francs. En l’occurrence, la valeur litigieuse en lien avec des prestations de l’assurance-invalidité est susceptible d’excéder le montant précité. La compétence d’une cour à trois juges pour statuer est ainsi donnée.</w:t>
      </w:r>
    </w:p>
    <w:p>
      <w:r>
        <w:rPr>
          <w:b/>
        </w:rPr>
        <w:t>E. 3</w:t>
      </w:r>
    </w:p>
    <w:p>
      <w:r>
        <w:t>a) En tant qu’autorité de recours contre des décisions prises par des assureurs sociaux, le juge des assurances sociales ne peut, en principe, entrer en matière – et le recourant présenter ses griefs – que sur</w:t>
      </w:r>
    </w:p>
    <w:p>
      <w:r>
        <w:t>- 8 -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En l’occurrence, est seule litigieuse la question du mandat d’expertise confié au Dr D.________ selon la décision du 2 décembre 2016. En revanche, le principe même de l’expertise n’est plus querellé par le recourant auprès de la Cour de céans.</w:t>
      </w:r>
    </w:p>
    <w:p>
      <w:r>
        <w:rPr>
          <w:b/>
        </w:rPr>
        <w:t>E. 4</w:t>
      </w:r>
    </w:p>
    <w:p>
      <w:r>
        <w:t>a) L’art. 43 al. 1 LPGA dispose que l’assureur examine les demandes dont il est saisi, prend d’office les mesures d’instruction nécessaires et recueille les renseignements dont il a besoin, les renseignements donnés oralement devant être consignés par écrit. A teneur de l’art. 44 LPGA, si l’assureur doit recourir aux services d’un expert indépendant pour élucider les faits, il donne connaissance du nom de celui-ci aux parties ; celles-ci peuvent récuser l’expert pour des raisons pertinentes et présenter des contre-propositions. b) Concernant la procédure de choix de l’expert, le Tribunal fédéral considère à l’ATF 137 V 210 (consid. 2.5 et 3.4.2, en particulier consid. 3.4.2.4, 3.4.2.6 et 3.4.2.7), qu’un déroulement équitable de la procédure exige dans un premier temps que les prérogatives usuelles dans la procédure administrative générale, découlant du droit d’être entendu (art. 29 al. 2 Cst [Constitution fédérale de la Confédération suisse du 18 avril 1999 ; RS 101] et 42 LPGA ; ATF 135 V 465 consid. 4.3.2)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(René A. Rhinow, Verwaltungsgerichtsbarkeit im Wandel, in G.</w:t>
      </w:r>
    </w:p>
    <w:p>
      <w:r>
        <w:t>- 9 - Müller et al. [Hrsg.], Staatsorganisation und Staatsfunktionen im Wandel, 1982, p. 660). Constatant ensuite qu’il n’existe pas de droit à une expertise judiciaire, la Haute Cour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le Tribunal fédéral estime qu’un renforcement des droits de participation de l’assuré à l’administration de l’expertise, au stade de la procédure administrative déjà, est nécessaire pour garantir une procédure équitable conforme aux exigences des art. 29 al. 1 et 2 Cst et 6 CEDH (Convention du 4 novembre 1950 de sauvegarde des droits de l’homme et des libertés fondamentales ; RS 0.101). L’ATF 137 V 210 a été rendu pour les procédures de l’assurance-invalidité et au sujet des expertises pluridisciplinaires. Les principes qui y ont été développés valent toutefois, en règle générale, également pour les expertises mono- et bidisciplinaires (cf. ATF 139 V 349). c) Le droit d’être entendu, tel qu’il est garanti par l’art. 29 al. 2 Cst., comprend en particulier le droit pour l’intéressé de s’exprimer sur les éléments pertinents avant qu’une décision ne soit prise, de participer à l’administration des preuves essentielles ou à tout le moins de s’exprimer sur son résultat, lorsque cela est de nature à influer sur la décision à rendre (ATF 135 V 465 consid. 4.3.2 ; ATF 133 I 270 consid. 3.1 ; ATF 132 V 368 consid. 3.1). Lorsque l’administration confie un mandat à un expert indépendant, l’art. 44 LPGA offre à la personne assurée différents droits qui vont au-delà des garanties minimales déduites de l’art. 29 al. 2 Cst. En premier lieu, l’assuré a le droit de prendre préalablement connaissance du nom de l’expert désigné. En plus du nom de l’expert, il convient également de communiquer la spécialisation de la personne chargée de</w:t>
      </w:r>
    </w:p>
    <w:p>
      <w:r>
        <w:t>- 10 - l’expertise. L’assuré n’a en revanche pas le droit de se voir remettre des renseignements sur la carrière professionnelle de l’expert, des copies des titres obtenus ou encore des attestations relatives à la formation continue ; l’obtention d’un titre de médecin spécialiste permet d’inférer que l’expert possède les qualités professionnelles nécessaires à l’exécution du mandat d’expertise (TFA I 193/05 du 7 septembre 2006 consid. 5.4 ; voir également TF I 211/06 du 22 février 2007 consid. 5.4.1). En second lieu, l’assuré a le droit de présenter des contre-propositions, s’il estime avoir des motifs pertinents justifiant la récusation de l’expert désigné par l’assureur. Ce dernier est tenu d’examiner ses propositions sans idée préconçue. Les garanties procédurales permettent aux parties d’exiger la récusation de l’expert si la situation ou son comportement sont de nature à faire naître un doute sur son impartialité. Pour entraîner la récusation, le rapport que l’expert entretient (ou a entretenu) avec une personne intéressée à l’issue de la procédure doit toutefois être suffisamment étroit pour que sa liberté de jugement soit objectivement compromise (TF 1P.820/2006 du 6 mars 2007 consid. 5 ; voir également TF 5A_756/2008 du 9 septembre 2009 consid. 2.1). En d’autres termes, seuls des motifs permettant de mettre en doute l’impartialité de l’expert constituent des motifs de récusation.</w:t>
      </w:r>
    </w:p>
    <w:p>
      <w:r>
        <w:rPr>
          <w:b/>
        </w:rPr>
        <w:t>E. 5</w:t>
      </w:r>
    </w:p>
    <w:p>
      <w:r>
        <w:t>Selon la jurisprudence, il convient de distinguer les motifs formels et les motifs matériels de récusation. Les motifs formels sont ceux prévus par la loi, tels que déduits des art. 36 al. 1 LPGA, 10 PA (loi fédérale du 20 décembre 1968 sur la procédure administrative ; RS 172.021) ou 34 LTF (loi fédérale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w:t>
      </w:r>
    </w:p>
    <w:p>
      <w:r>
        <w:t>- 11 - agi dans la même cause comme membre de l’autorité précédente, du fait d’être lié avec une partie ou son mandataire par mariage, fiançailles, partenariat enregistré ou adopté,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qui peuvent également être dirigés contre la personne de l’expert, ne mettent en revanche pas directement en cause l’impartialité de l’expert, mais portent plutôt sur la qualité du rapport que celui-ci pourrait être amené à prendre,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Ces derniers motifs doivent en principe être examinés avec la décision sur le fond dans le cadre de l’appréciation des preuves (ATF 132 V 93 consid. 6.5 ; TF 9C_552/2014 du 26 novembre 2014 consid. 1.2 ; TF 8C_678/2014 du 23 octobre 2014 consid. 3.3.1 ; TF 9C_893/2009 du 22 décembre 2009 consid. 2.3.1). Il s’agit de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(TFA [Tribunal fédéral des assurances] M 3/04 du 31 octobre 2005 consid. 2). Au titre des motifs de récusation formels,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w:t>
      </w:r>
    </w:p>
    <w:p>
      <w:r>
        <w:t>- 12 - apparaître comme fondée sur des éléments objectifs (ATF 132 V 93 consid. 7.1 ; TF 9C_689/2012 du 6 juin 2013 consid. 2.2 ; TF 8C_531/2014 du 23 janvier 2015 consid. 6 in SVR 2015 IV n° 23).</w:t>
      </w:r>
    </w:p>
    <w:p>
      <w:r>
        <w:rPr>
          <w:b/>
        </w:rPr>
        <w:t>E. 6</w:t>
      </w:r>
    </w:p>
    <w:p>
      <w:r>
        <w:t>a) En l’espèce, le recourant, se référant aux articles parus dans la presse romande, soutient en substance que les antécédents judiciaires du Dr D.________ l’empêcheraient de conduire une expertise de qualité et faire preuve de l’impartialité nécessaire à son égard. Or on ne voit pas en quoi les antécédents judiciaires du Dr D.________ seraient de nature à jeter un doute sur son impartialité à l’égard du recourant. Dans ce domaine, la jurisprudence exige des faits qui justifient objectivement la méfiance. Celle-ci ne saurait reposer sur le seul sentiment subjectif d’une partie ; un tel sentiment ne peut être pris en considération que s’il est fondé sur des faits concrets et si ces derniers sont, en eux-mêmes, propres à justifier objectivement et raisonnablement un tel sentiment chez une personne réagissant normalement. La condamnation du Dr D.________ par la justice pénale ne pouvait, d’une part, pas être ressentie, objectivement, comme un manque de professionnalisme ; cela est d’autant plus vrai que dite condamnation concernait un complexe de faits totalement extérieur à la sphère de compétences de ce praticien. Le professionnalisme de l’expert n’est d’ailleurs aucunement mis en doute par le recourant, ce dernier ayant au contraire relevé « être conscient du professionnalisme et de la notoriété du Dr D.________» et « ne pas mettre en doute ses capacités médicales d’intervention » (cf. correspondance du 16 janvier 2017). D’autre part, dite condamnation ne constitue pas une circonstance de nature à fonder objectivement un soupçon de partialité. Si tel devait être le cas, force serait ainsi de constater, à l’instar de l’intimé, que le Dr D.________ ne pourrait tout simplement plus être amené à conduire la moindre expertise. Il apparaît donc que les motifs invoqués par le recourant pour fonder sa demande de récusation de l’expert ne sont qu’un ressenti subjectif eti n’apparaissent pas suffisants pour conclure à une manque d’objectivité et de partialité de sa part. Faute d'éléments concrets propres à mettre en doute la probité de ce médecin lors de l'expertise, il convient</w:t>
      </w:r>
    </w:p>
    <w:p>
      <w:r>
        <w:t>- 13 - de constater que la preuve permettant de renverser la présomption d'impartialité dont bénéficie l'expert n'a pas été rapportée. b) Le recourant aura la possibilité de s’exprimer sur le caractère probant de l’expertise devant l’administration et, le cas échéant, devant l’autorité cantonale de recours (cf. consid. 5 supra). c) On relèvera enfin que le droit d’être entendu du recourant n’a pas été violé dans la mesure où celui-ci a eu l’occasion de se déterminer à plusieurs reprises sur la nomination de l’expert D.________, dont l’identité et la spécialisation lui ont été communiquées dans le respect de la procédure prévue par l’art. 44 LPGA et de présenter ses questions complémentaires à son attention, lesquelles ont été d’ailleurs été prises en compte par l’intimé.</w:t>
      </w:r>
    </w:p>
    <w:p>
      <w:r>
        <w:rPr>
          <w:b/>
        </w:rPr>
        <w:t>E. 7</w:t>
      </w:r>
    </w:p>
    <w:p>
      <w:r>
        <w:t>a) En définitive, le recours doit être rejeté et la décision litigieuse confirmée. b) Il y a lieu de déroger au principe de la gratuité (art. 61 let. a LPGA), la présente procédure étant onéreuse dès lors que la contestation au fond a trait à une contestation portant sur l’octroi ou le refus de prestations au sens de l’art. 69 al. 1bis LAI (ATF 133 V 441 ; TF 9C_905/2007 du 15 avril 2008). Ainsi, les frais, arrêtés à 400 fr., sont mis à la charge du recourant, qui succombe (art. 49 al. 1 LPA-VD). c) Le recourant n’obtenant pas gain de cause, il ne peut prétendre à l’allocation de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