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ZD17.000639 vom 27. November 2017</w:t>
      </w:r>
    </w:p>
    <w:p>
      <w:r>
        <w:t>VD Tribunal cantonal, 2017-11-27, FR</w:t>
      </w:r>
    </w:p>
    <w:p>
      <w:r>
        <w:rPr>
          <w:b/>
        </w:rPr>
        <w:t xml:space="preserve">Quelle: </w:t>
      </w:r>
      <w:r>
        <w:t>https://mcp.opencaselaw.ch/entscheid/vd_gerichte_ZD17.000639</w:t>
      </w:r>
    </w:p>
    <w:p>
      <w:r>
        <w:t>FR: VD_GERICHTE ZD17.000639 du 27 novembre 2017</w:t>
      </w:r>
    </w:p>
    <w:p>
      <w:r>
        <w:t>IT: VD_GERICHTE ZD17.000639 del 27 novembre 2017</w:t>
      </w:r>
    </w:p>
    <w:p>
      <w:pPr>
        <w:pStyle w:val="Heading2"/>
      </w:pPr>
      <w:r>
        <w:t>Erwägungen</w:t>
      </w:r>
    </w:p>
    <w:p>
      <w:r>
        <w:rPr>
          <w:b/>
        </w:rPr>
        <w:t>E. 2</w:t>
      </w:r>
    </w:p>
    <w:p>
      <w:r>
        <w:t>Quelle est l'évolution de l'état de santé depuis votre dernier rapport ? • L'état psychique de la patiente demeure fluctuant avec des moments où on assiste à une légère diminution et des moments où il y a une exacerbation des symptômes dépressifs, avec notamment une grande tristesse et une grande fatigue.</w:t>
      </w:r>
    </w:p>
    <w:p>
      <w:r>
        <w:rPr>
          <w:b/>
        </w:rPr>
        <w:t>E. 3</w:t>
      </w:r>
    </w:p>
    <w:p>
      <w:r>
        <w:t>Quelle est la capacité de travail dans l'activité habituelle ? Depuis quand ? • 0% actuellement.</w:t>
      </w:r>
    </w:p>
    <w:p>
      <w:r>
        <w:rPr>
          <w:b/>
        </w:rPr>
        <w:t>E. 4</w:t>
      </w:r>
    </w:p>
    <w:p>
      <w:r>
        <w:t>Quelle est la capacité de travail dans une activité adaptée ? Depuis quand ? • Aucune activité n'est envisageable actuellement.</w:t>
      </w:r>
    </w:p>
    <w:p>
      <w:r>
        <w:rPr>
          <w:b/>
        </w:rPr>
        <w:t>E. 5</w:t>
      </w:r>
    </w:p>
    <w:p>
      <w:r>
        <w:t>Quelles sont les limitations fonctionnelles d'ordre strictement médical ? • Outre les douleurs, les vertiges et les difficultés de déplacement pour les moyennes et longues distances où elle a besoin de pauses fréquentes et d'utiliser la chaise roulante, la patiente se plaint d'une grande tristesse et d'une fatigue importante. Il y a une réduction considérable de son plaisir et de son intérêt à ses activités. D'autre part, il y a des troubles du sommeil fluctuants. On note également une difficulté de concentration et des troubles de mémoire. • Il y a une hypersensibilité au stress en lien avec l'état de stress post-traumatique. Les affaires administratives sont gérées par le mari.</w:t>
      </w:r>
    </w:p>
    <w:p>
      <w:r>
        <w:t>- 9 -</w:t>
      </w:r>
    </w:p>
    <w:p>
      <w:r>
        <w:rPr>
          <w:b/>
        </w:rPr>
        <w:t>E. 6</w:t>
      </w:r>
    </w:p>
    <w:p>
      <w:r>
        <w:t>Quels sont les dates et les taux précis des arrêts de travail ? • 100% depuis le 19 [recte : 18].7.2012.</w:t>
      </w:r>
    </w:p>
    <w:p>
      <w:r>
        <w:rPr>
          <w:b/>
        </w:rPr>
        <w:t>E. 7</w:t>
      </w:r>
    </w:p>
    <w:p>
      <w:r>
        <w:t>La recourante estime contradictoire de retenir une incapacité de travail de 31.15% sur la part ménagère, et ne pas retenir la même incapacité de travail dans l'activité d'aide-soignante, qu'elle estime largement analogue à ce qu'elle pourrait effectuer sur la part ménagère. La recourante perd ici toutefois de vue que l'intimé l'estime totalement incapable d'exercer son activité habituelle d'aide-soignante. A l'inverse, il est constant que l'évaluation de l'incapacité sur la part ménagère ne répond pas aux mêmes critères ; ainsi,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TF 9C_784/2013 du 5 mars 2014 consid. 3.3 et les références). Les empêchements de l'assuré doivent en outre être évalués en tenant compte de l'aide que l'on peut exiger des membres de</w:t>
      </w:r>
    </w:p>
    <w:p>
      <w:r>
        <w:t>- 43 - la famille au titre de l'obligation de réduire le dommage (ATF 130 V 97 consid. 3.2 ; TF I 561/2006 du 26 juillet 2007 consid. 5.2.1). Dans la présente espèce, aucun indice n'est propre à remettre en cause l'appréciation à laquelle s'est livrée l'enquêtrice de l'OAI. Elle a en particulier bien décrit le quotidien de l'assurée, et pris le soin de lister les empêchements dus à l'invalidité pour chacun des travaux ménagers en les pondérant en fonction du champ d'activité de chaque tâche spécifique. Le rapport d’enquête a au demeurant été élaboré par une personne qualifiée qui a eu connaissance de la situation locale et spatiale ainsi que des empêchements et des handicaps résultant des diagnostics médicaux, et qui a tenu compte des indications de l’assurée. Dans ces conditions, il y a donc lieu de s'en tenir aux empêchements ménagers d’un total de 31.15%, compte tenu de l'aide que l'on peut exiger des personnes faisant ménage commun avec l’assurée au titre de l'obligation de réduire le dommage. Afin de dissiper d'éventuels doutes, on précisera pour autant que de besoin que l'enquête ménagère a été effectuée le 18 janvier 2016 au domicile de la recourante, soit avant le projet de décision du 15 mars 2016. En déplorant que sa capacité ménagère n'ait été examinée qu'à la lumière de ses limitations somatiques, alors que son état dépressif était selon elle également invalidant, la recourante perd de vue l'amélioration des suites de l'accident observée au SMR depuis la fin mai 2015, en particulier l'absence d'atteinte invalidante à la santé sur le plan psychiatrique. A cela s’ajoute que l'enquêtrice a dûment tenu compte de cette situation pour établir son rapport. La recourante s'est encore interrogée sur les raisons ayant conduit l'OAI à tenir compte d'un empêchement ménager identique avant et après le mois de mai 2015, estimant que le degré d’invalidité ménager retenu par l’intimé jusqu’au 1er septembre 2015 était manifestement incorrect. Ce point de vue ne peut être partagé. En effet, comme</w:t>
      </w:r>
    </w:p>
    <w:p>
      <w:r>
        <w:t>- 44 - l’enquêtrice l’a mentionné en dernière page de son rapport, depuis l'accident, l'assurée ne faisait pratiquement plus rien dans les travaux ménagers, sa belle-fille assumant pratiquement tout l'entretien du ménage et ayant même repris les fonctions de sa belle-mère auprès de la belle-sœur handicapée. Le statu quo retenu par l'intimé s’explique ainsi non pas en raison d’une amélioration des limitations de l’assurée dans l’accomplissement de ses activités ménagères courant 2015 mais par le fait que la belle-fille qui fait ménage commun avec elle est en mesure de lui apporter l’aide exigible depuis l'accident de juillet 2012. En l’occurrence, en sus d’une analyse détaillée de chacune des tâches ménagères, l’enquêtrice de l'OAI a ainsi également pris en compte, à raison, l’aide exigible de la part des personnes faisant ménage commun avec la recourante, à savoir son époux, les enfants et sa belle-fille, au titre de l’obligation de réduire le dommage (cf. ATF 130 V 97 consid. 3.2; TF 9C_925/2013 du 1er avril 2014 consid. 2.3 et I 561/2006 du 26 juillet 2007 consid. 5.2.1).</w:t>
      </w:r>
    </w:p>
    <w:p>
      <w:r>
        <w:rPr>
          <w:b/>
        </w:rPr>
        <w:t>E. 8</w:t>
      </w:r>
    </w:p>
    <w:p>
      <w:r>
        <w:t>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recourante n’a pas critiqué les revenus retenus sans et avec invalidité. Vérifiés d’office ceux-ci peuvent être confirmés. b) La recourante a toutefois critiqué l’abattement de 10% effectué sur le revenu avec invalidité. Elle estime que la longue durée de son incapacité de travail, ses problèmes d’acculturation ainsi que ses lacunes linguistiques justifient la prise en compte d’un abattement de 25%. La mesure de cette réduction dépend de l'ensemble des circonstances personnelles et professionnelles du cas particulier (limitations liées au handicap, âge, années de service,</w:t>
      </w:r>
    </w:p>
    <w:p>
      <w:r>
        <w:t>- 45 -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En l'espèce, il est établi que la recourante présente une incapacité de travail totale dès le mois de juillet 2012 dans son activité habituelle d'aide-soignante. Toutefois, dès le mois de mai 2015, une capacité de travail de 70% était raisonnablement exigible de sa part dans une activité adaptée à ses limitations fonctionnelles somatiques (à savoir : pas de port de charges de plus de 8 kilos ni position en porte-à-faux, alternance des positions avec changement deux fois par heure ou librement [rachis lombaire], éviter la marche sur terrain irrégulier, les activités accroupie/à genoux et l'utilisation répétée des escaliers [hanche gauche] et pas d'activités répétées en flexion-extension ou déviation cubitale du poignet [poignet gauche]). L’OAI a tenu compte en l’espèce d’un abattement de 10% lié aux limitations fonctionnelles précitées.</w:t>
      </w:r>
    </w:p>
    <w:p>
      <w:r>
        <w:t>- 46 - Or le salaire statistique de l’Enquête suisse sur la structure des salaires (ESS) pris en compte par l'intimé dans sa décision au titre de revenu avec invalidité recouvre un large éventail d’activités variées et non qualifiées accessibles à la recourante au vu de ses limitations fonctionnelles (cf. TF 9C_497/2012 du 7 novembre 2012 ; TF I 383/2006 du 5 avril 2007 consid. 4.4), sans que sa nationalité ou ses problèmes de langue ne constituent un frein à l’exercice de telles activités. Cela étant, même un abattement plus conséquent ne serait pas susceptible de permettre la poursuite du droit à la rente au-delà du 31 août 2015. Pour la période du 1er octobre 2013 (compte tenu de la demande tardive du 22 avril 2013 ; cf. art. 29 al. 1 et 3 LAI) jusqu'au 31 août 2015, le taux d'invalidité globale doit être fixé à 66% ([50 x 100] + [50 x 31,15]), taux qui ouvre le droit à trois quarts de rente (cf. art. 28 al. 2 LAI). Pour la période courant dès le 1er septembre 2015 (compte tenu de l'amélioration dès le 28 mai 2015 ; cf. art. 88a, al. 1, RAI), le taux d'invalidité globale doit être fixé à 17% ([50 x 2,89] + [50 x 31,15]), taux inférieur au seuil de 40% permettant le maintien du droit à la rente (cf. art. 28 al. 2 LAI).</w:t>
      </w:r>
    </w:p>
    <w:p>
      <w:r>
        <w:rPr>
          <w:b/>
        </w:rPr>
        <w:t>E. 9</w:t>
      </w:r>
    </w:p>
    <w:p>
      <w:r>
        <w:t>Cela étant, le dossier est complet, permettant ainsi à la Cour de statuer en connaissance de cause. Les requêtes d'expertise bi-, voire tridisciplinaire, et de nouvelle enquête ménagère formulées par la recourante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w:t>
      </w:r>
    </w:p>
    <w:p>
      <w:r>
        <w:t>- 47 -</w:t>
      </w:r>
    </w:p>
    <w:p>
      <w:r>
        <w:rPr>
          <w:b/>
        </w:rPr>
        <w:t>E. 10</w:t>
      </w:r>
    </w:p>
    <w:p>
      <w:r>
        <w:t>Vu ce qui précède, mal fondé, le recours doit être rejeté et la décision attaquée confirmée. a)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al. 1bis LAI). b) En l’espèce, compte tenu de l’ampleur de la procédure, les frais de justice doivent être arrêtés à 400 fr. à la charge de la recourante (art. 69 aI. 1bis LAI ; art. 49 al. 1 LPA-VD), sans qu’il ne se justifie d’allouer des dépens dès lors qu'elle n’obtient pas gain de cause (art. 61 let. g LPGA a contrario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