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ZD17.000633 vom 19. Dezember 2017</w:t>
      </w:r>
    </w:p>
    <w:p>
      <w:r>
        <w:t>VD Tribunal cantonal, 2017-12-19, FR</w:t>
      </w:r>
    </w:p>
    <w:p>
      <w:r>
        <w:rPr>
          <w:b/>
        </w:rPr>
        <w:t xml:space="preserve">Quelle: </w:t>
      </w:r>
      <w:r>
        <w:t>https://mcp.opencaselaw.ch/entscheid/vd_gerichte_ZD17.000633</w:t>
      </w:r>
    </w:p>
    <w:p>
      <w:r>
        <w:t>FR: VD_GERICHTE ZD17.000633 du 19 décembre 2017</w:t>
      </w:r>
    </w:p>
    <w:p>
      <w:r>
        <w:t>IT: VD_GERICHTE ZD17.000633 del 19 dicembre 2017</w:t>
      </w:r>
    </w:p>
    <w:p>
      <w:pPr>
        <w:pStyle w:val="Heading2"/>
      </w:pPr>
      <w:r>
        <w:t>Erwägungen</w:t>
      </w:r>
    </w:p>
    <w:p>
      <w:r>
        <w:rPr>
          <w:b/>
        </w:rPr>
        <w:t>E. 50</w:t>
      </w:r>
    </w:p>
    <w:p>
      <w:r>
        <w:t>%. Sur demande de mon conseil, je précise qu’il est prévu que je travaille tous les matins, mais je peux arriver plus tard, notamment le mercredi, d’entente avec mon employeur de façon à concilier mon état de santé et mes obligations professionnelles, étant précisé que la maladie est particulièrement active le matin. Je fais un 50 % dans la semaine et les 10 % supplémentaires, je les fais le week-end, depuis la maison, en travaillant sur l’ordinateur pour des commandes par exemple. Je suis trop fatiguée dans la semaine pour faire ces 10 %. Lorsque je rentre l’après-midi, je dors. […] Je suis sous antidépresseurs depuis une année avec une thérapie. » E n d r o i t : 1. a) Les dispositions de la LPGA (loi fédérale du 6 octobre 2000 sur la partie générale du droit des assurances sociales ; RS 830.1) s'appliquent à l'assurance-invalidité (art. 1 LAI [loi fédérale du 19 juin 1959 sur l'assurance-invalidité ; RS 831.20]). L'art. 69 al. 1 let. a LAI dispose qu'en dérogation aux art. 52 LPGA (instaurant une procédure d'opposition) et 58 LPGA (consacrant la compétence du tribunal des assurances du</w:t>
      </w:r>
    </w:p>
    <w:p>
      <w:r>
        <w:t>- 10 -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al. 1 LPGA). b) En l'espèce, compte tenu des féries, le recours a été interjeté en temps utile auprès du tribunal compétent (art. 93 let. a LPA- VD [loi cantonale vaudoise du 28 octobre 2008 sur la procédure administrative ; RSV 173.36]) et respecte pour le surplus les formalités prévues par la loi (art. 61 let. b LPGA), de sorte qu'il est recevable. 2. Le litige porte sur le droit de la recourante à des prestations de l’assurance-invalidité. 3. a) En vertu de l’art. 8 al. 1 LPGA, est réputée invalidité l’incapacité de gain totale ou partielle qui est présumée permanente ou de longue durée, résultant d’une infirmité congénitale, d’une maladie ou d’un accident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w:t>
      </w:r>
    </w:p>
    <w:p>
      <w:r>
        <w:t>- 11 - L’assuré a droit à une rente s’il est invalide à 40 % au moins en moyenne durant une année sans interruption notable (art. 28 al. 1 LAI). La rente est échelonnée selon le taux d’invalidité. Ainsi, un degré d’invalidité de 40 % donne droit à un quart de rente, un degré d’invalidité de 50 % au moins donne droit à une demi-rente, un degré d’invalidité de 60 % au moins donne droit à un trois-quarts de rente et un degré d’invalidité de 70 % au moins donne droit à une rente entière (art. 28 al. 2 LAI). b) Pour se prononcer sur l’invalidité, l’administration – en cas de recours, le juge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 125 V 256 consid. 4 ; TF 8C_761/2014 du 15 octobre 2015 consid. 3.4 et les références citées). c) De manière générale,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 ; TF 8C_410/2014 du 2 novembre 2015 consid. 3.3 et 9C_418/2007 du 8 avril 2008 consid. 2.1). C’est ainsi qu’il importe, pour conférer pleine valeur probante à un rapport médical, que les points litigieux importants aient fait l’objet d’une étude circonstanciée, que le rapport se fonde sur des examens complets, qu’il prenne également en</w:t>
      </w:r>
    </w:p>
    <w:p>
      <w:r>
        <w:t>- 12 -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134 V 231 consid. 5.1 ; 125 V 351 consid. 3a ; TF 8C_410/2014 précité consid. 3.3). 4. En premier lieu, il s’agit de déterminer la capacité de travail de la recourante, vu les divergences entre les rapports médicaux au dossier et les déclarations de la recourante à l’audience du 19 octobre 2017. a) Il ne sera pas tenu compte du rapport du Dr R.________, lequel est relativement ancien et réservait déjà une évolution de la capacité de travail en fonction du succès des traitements mis en place. Dans ses rapports rédigés à une année d’intervalle, le Dr C.________ évalue à 60 %, puis à 50 % la capacité de travail de sa patiente. En date du 19 mai 2015, il mentionnait une exigibilité de 60 % et une adaptation de sa patiente à son handicap sur sa place de travail. Par ailleurs, les mesures médicales envisageables destinées à la réduction des restrictions physiques, en l’occurrence, la fatigue, une douleur au coude droit, des lombalgies et des difficultés avec le pouce droit, étaient déjà instaurées. À l’époque de ce rapport, la recourante avait repris son activité à 60 % auprès de D.________ SA et ce depuis plus de huit mois. En date du 23 mai 2016, le Dr C.________ évoque une capacité de travail de 50 % exclusivement, que ce soit auprès de l’employeur précédent ou actuel, en raison des douleurs métacarpo-phalangiennes, des tendinopathies aux coudes et aux épaules ainsi que des lombalgies accentuées par les mouvements répétitifs et le port de charges. Le traitement était toujours suivi. À l’époque de ce rapport, l’emploi de la recourante auprès de l’Ecole Y.________ était encore de 50 %. b) A l’audience du 19 octobre 2017, la recourante a déclaré que son cahier des charges n’avait jamais été adapté auprès de son</w:t>
      </w:r>
    </w:p>
    <w:p>
      <w:r>
        <w:t>- 13 - ancien employeur D.________ SA, soit qu’elle devait continuer à faire le même travail à 60 % que celui qu’elle faisait par le passé à 90 %. Elle a ajouté qu’auprès de son nouvel employeur, elle effectuait les mêmes tâches que ses prédécesseurs à 50 %, mais qu’au vu de sa maladie, son taux avait été augmenté à 60 %, avec un salaire correspondant à ce pourcentage. c) Ces déclarations paraissent crédibles et sont corroborées par les pièces du dossier. La lettre de résiliation des rapports de travail du 29 septembre 2015 mentionne en effet que la fonction d’assistante de direction précédemment occupée par la recourante nécessitait un taux d’activité minimum de 90 % d’un horaire normal et que malgré tous les efforts de la recourante, elle n’avait pas pu assumer ses tâches. Pour ce qui est du poste auprès de l’Ecole Y.________, l’avenant au contrat signé le 26 août 2015, confirme que le taux d’activité, et par conséquent le salaire, a été augmenté pour donner suite à la demande de la recourante. Il résulte de ce qui précède que dans les faits, la recourante n’a jamais travaillé à un taux de 60 % d’un 100 % auprès de D.________ SA et qu’elle travaille actuellement à un taux de 60 %, mais avec une diminution de rendement de 16.66 % vu le cahier des charges établi pour un emploi à 50 %. d) Cela étant et malgré les divergences relatives au taux d’activité, les avis médicaux s’accordent à retenir une fatigabilité de la recourante (rapport du Dr R.________ du 19 août 2014, rapports du Dr C.________ des 19 mai 2015 et 23 mai 2016). Cette dernière a déclaré dans le cadre de l’enquête économique sur le ménage du 15 septembre 2015 que la fatigue était fluctuante et que son état pouvait être très différent d’un jour à l’autre. aa) La spondylarthrite ankylosante (maladie de Bechterew), qui fait partie des affections rhumatismales inflammatoires dites chroniques, est caractérisée par une inflammation et une ankylose principalement de l’axe vertébral. Assez souvent, elle se déclare tout</w:t>
      </w:r>
    </w:p>
    <w:p>
      <w:r>
        <w:t>- 14 - d’abord par la problématique oculaire et, à son apparition, on doit alors rechercher systématiquement les signes vertébraux cliniques et radiologiques latents. Elle évolue par poussées à composante inflammatoire, dont l’importance et la fréquence sont très variables et qui sont entrecoupées de périodes de rémission durant lesquelles il subsiste une ankylose (TF 5C.101/2004 du 4 août 2004 consid. E.b.c). bb) Au vu de ce qui précède, il apparaît que l’état de santé de la recourante est évolutif vu les caractéristiques de la maladie, en particulier l’état de fatigue mis en avant par les médecins, ce qui a des conséquences sur la capacité de travail. La divergence entre un taux d’activité de 50 et 60 % qui ressort des différents rapports médicaux est donc peu étonnante, dépendant vraisemblablement aussi du type d’activité et des trajets à faire vu les déclarations de la recourante. La Cour de céans n’est toutefois pas en mesure de déterminer le réel taux d’incapacité et son évolution, ce d’autant moins que la recourante semble également souffrir d’une atteinte à la santé psychique qui a motivé une consultation en automne dernier, soit avant la reddition de la décision litigieuse. Cette atteinte peut également avoir une influence sur la capacité de travail même s’il s’agit d’une nouvelle atteinte. 5. a)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(art. 43 al. 1 LPGA). Le devoir d'instruction s'étend jusqu'à ce que les faits nécessaires à l'examen des prétentions en cause soient suffisamment élucidés (TF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w:t>
      </w:r>
    </w:p>
    <w:p>
      <w:r>
        <w:t>- 15 - b)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(TF U 571/06 du 29 mai 2007 consid. 4.2 in SVR 2007 UV n° 33 p. 111 ; Ueli Kieser, ATSG- Kommentar, Berne/St-Gall/Zurich 3ème éd. 2015, n° 27 ad art. 43 LPGA).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(ATF 122 V 157 consid. 1d).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(DTA 2001 n° 22 p. 170, consid. 2). 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w:t>
      </w:r>
    </w:p>
    <w:p>
      <w:r>
        <w:t>- 16 - c) En l’occurrence, il incombe à l’OAI de procéder à l’ensemble des mesures d’instruction permettant d’élucider la situation médicale de la recourante, notamment sa capacité de travail, en procédant à une expertise bidisciplinaire, laquelle devra comporter – à tout le moins – des volets psychiatrique et rhumatologique. 6. Quand bien même le recours doit être admis pour les motifs qui précèdent et renvoyé à l’intimé, le principe de l'économie de la procédure impose d'examiner le choix de la méthode d’évaluation du degré d’invalidité. a) Pour évaluer le degré d'invalidité,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non actif, assuré exerçant une activité lucrative à temps partiel.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 c'est la méthode générale de comparaison des revenus (art. 28a al. 1 LAI en corrélation avec l'art. 16 LPGA) et ses sous-variantes, la méthode de comparaison en pour-cent (ATF 114 V 310 consid. 3a et les références citées) et la méthode extraordinaire de comparaison des revenus (ATF 128 V 29 ; également TF 9C_236/2009 du 7 octobre 2009 consid. 3 et 4). Chez les assurés n'exerçant pas d'activité lucrative avant d'être atteints dans leur santé physique, mentale ou psychique et dont il ne peut être exigé qu'ils en exercent une, il y a lieu d'effectuer une comparaison des activités, en cherchant à établir dans quelle mesure</w:t>
      </w:r>
    </w:p>
    <w:p>
      <w:r>
        <w:t>- 17 - l'assuré est empêché d'accomplir ses travaux habituels ; c'est la méthode spécifique d'évaluation de l'invalidité (art. 28a al. 2 LAI en corrélation avec les art. 8 al. 3 LPGA et 27 RAI). Par travaux habituels, il faut notamment entendre l'activité usuelle dans le ménage, l'éducation des enfants ainsi que toute activité artistique ou d'utilité publique (art. 27 RAI).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 c'est la méthode mixte d'évaluation de l'invalidité (art. 28a al. 3 LAI en corrélation avec l'art. 27bis RAI ; ATF 137 V 334 ; 131 V 51 consid. 5.1.2). Le fait qu'une personne non atteinte dans sa santé décide de travailler à temps partiel est sans influence sur le choix de la méthode d'évaluation de l'invalidité – et dès lors n'entraîne pas l'application de la méthode mixte –, sauf si cette personne consacre à ses travaux habituels le temps libre supplémentaire dont elle dispose. Si un assuré, en mesure sur le plan de la santé d'exercer une activité lucrative à plein temps, décide de son propre gré de réduire son horaire de travail pour s'accorder plus de loisirs, l'assurance-invalidité n'a pas à intervenir. Les activités de loisirs sont ainsi exclues de la définition des travaux habituels. La limitation dans le domaine lucratif doit être prise en considération de façon proportionnelle – en fonction de l'étendue de l'hypothétique taux d'activité lucrative à temps partiel (ATF 131 V 51 consid. 5.1.2 et 5.2, précisé par l'ATF 142 V 290 consid. 7). Pour déterminer la méthode applicable au cas particulier, il faut à chaque fois se demander ce que l'assuré aurait fait si l'atteinte à la</w:t>
      </w:r>
    </w:p>
    <w:p>
      <w:r>
        <w:t>- 18 - santé n'était pas survenue.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117 V 194 consid. 3b ; ATF 133 V 504 consid. 3.3 et les références citées ; TF 9C_49/2008 du 28 juillet 2008 consid. 3.1-3.4 et I 156/04 du 13 décembre 2005 consid. 5.1.2). b) En l’occurrence, l’OAI a appliqué la méthode mixte. Or, en l’absence d’atteinte à la santé incapacitante, la recourante, célibataire vivant seule et sans enfant, a travaillé auprès de D.________ SA de juin 2006 à décembre 2007 à plein temps, puis à 90 % dès janvier 2008, non pas pour se consacrer à ses travaux habituels, en l’occurrence la tenue de son ménage, mais pour gagner en qualité de vie, la recourante employant le temps libre ainsi dégagé à ses loisirs. C’est donc la méthode générale de comparaison des revenus qui doit s’appliquer, ce qui dispense de l’examen des rapports d’enquête ménagère. c) La Cour de céans constate également que le salaire actuel de la recourante comprend une part de salaire social. aa) Le revenu d'invalide doit être évalué avant tout en fonction de la situation professionnelle concrète de la personne assurée.</w:t>
      </w:r>
    </w:p>
    <w:p>
      <w:r>
        <w:t>- 19 -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(ATF 139 V 592 consid. 2.3). L’art. 25 al. 1 let. b RAI (Règlement du 17 janvier 1961 sur l’assurance-invalidité ; RS 831.201) exclut la prise en compte, à titre de revenu, des éléments de salaire dont il est prouvé que l’assuré ne peut fournir la contrepartie parce que sa capacité de travail limitée ne lui permet pas. C’est ce que l’on nomme « salaire social » (Michel Valterio, Droit de l'assurance-vieillesse et survivants [AVS] et de l'assurance- invalidité [AI], Genève/Zurich/Bâle 2011, p. 549 n° 2071). Il y a salaire social lorsque les prestations versées par l’employeur ne correspondent pas au rendement de l’assuré (ATF 104 V 90 consid. 2). Dans ce cas, ce dernier poursuit régulièrement son activité, mais il ne peut fournir, en raison de l’atteinte à la santé, qu’une prestation réduite du point de vue quantitatif ou qualitatif. Si tel est le cas, il ne faut prendre en compte, à titre de revenu, que la part du salaire qui correspond à sa capacité de travail. Les montants qui dépassent cette part sont considérés comme un salaire social lors même que des cotisations en auraient été déduites (RCC [Revue à l’intention des caisses de compensation] 1970 p. 336 consid. 2). L’exigence d’un salaire social doit être strictement prouvée dans la mesure où, en règle générale, il y a lieu de présumer que le salaire effectif correspond à la valeur du travail fourni (ATF 117 V 8 consid. 2c/aa). En effet, un employeur pourrait avoir intérêt à l’admission d’un salaire social pour pouvoir ensuite diminuer le salaire de l’assuré mis au bénéfice d’une rente. Pour admettre l’existence d’un salaire social, les renseignements de l’employeur doivent donc en principe concorder parfaitement avec ceux du rapport médical (Valterio, op.cit., p. 550 n° 2072). bb) Eu égard à l’avenant au contrat de travail signé le 26 août 2015 et aux déclarations de la recourante en audience du 19 octobre 2017</w:t>
      </w:r>
    </w:p>
    <w:p>
      <w:r>
        <w:t>- 20 - s’agissant de sa demande d’augmentation du taux d’activité (consid. 4b supra), alors que le travail a effectué reste identique vu l’absence d’indication quant à une modification du cahier des charges, il y a lieu de considérer que l’augmentation de salaire perçue est un salaire purement social. Le passage de la recourante de la classe 11/19 à la classe 12/19 ne justifie pas non plus entièrement l’augmentation des revenus. Par voie de conséquence, l’intimé ne pouvait pas – au vu de la part de salaire social comprise dans les revenus – faire une comparaison des gains sans tenir compte du salaire social. Par ailleurs, si la précédente activité habituelle de la recourante demeurait adaptée au vu des limitations fonctionnelles décrites (rapport du Dr C.________ du 19 mai 2015) et en tenant compte de l’état de santé de la recourante, on ne saurait en revanche évaluer la capacité de travail réelle de l’assurée sur la base de son taux d’activité auprès de D.________ SA, dans la mesure où le cahier des charges n’a pas été modifié malgré la diminution du taux d’activité. d) Cela étant, dès lors que le taux d’activité n’a pas pu être établi (consid. 4 supra), il appartiendra à l’intimé de reprendre les calculs s’agissant du degré d’invalidité également. 7. Il résulte de ce qui précède que le recours, bien fondé, doit être admis, la décision attaquée annulée et la cause renvoyée à l'OAI pour instruction complémentaire dans le sens des considérants. a) En dérogation à l'art. 61 let. a LPGA, la procédure de recours en matière de contestations portant sur l'octroi ou le refus de prestations de l'AI devant le tribunal cantonal des assurances est soumise à des frais judiciaires (art. 69 al. 1bis LAI). En l'espèce, il convient d'arrêter les frais judiciaires à 400 fr. et de les mettre à charge de l'OAI, qui succombe.</w:t>
      </w:r>
    </w:p>
    <w:p>
      <w:r>
        <w:t>- 21 - b) Obtenant gain de cause, la recourante, assistée d'un mandataire professionnel, a par ailleurs droit à des dépens, fixés en l’espèce à 2'500 fr. (art. 61 let. g LPGA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