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ZD16.054585 vom 19. Juli 2018</w:t>
      </w:r>
    </w:p>
    <w:p>
      <w:r>
        <w:t>VD Tribunal cantonal, 2018-07-19, FR</w:t>
      </w:r>
    </w:p>
    <w:p>
      <w:r>
        <w:rPr>
          <w:b/>
        </w:rPr>
        <w:t xml:space="preserve">Quelle: </w:t>
      </w:r>
      <w:r>
        <w:t>https://mcp.opencaselaw.ch/entscheid/vd_gerichte_ZD16.054585</w:t>
      </w:r>
    </w:p>
    <w:p>
      <w:r>
        <w:t>FR: VD_GERICHTE ZD16.054585 du 19 juillet 2018</w:t>
      </w:r>
    </w:p>
    <w:p>
      <w:r>
        <w:t>IT: VD_GERICHTE ZD16.054585 del 19 luglio 2018</w:t>
      </w:r>
    </w:p>
    <w:p>
      <w:pPr>
        <w:pStyle w:val="Heading2"/>
      </w:pPr>
      <w:r>
        <w:t>Erwägungen</w:t>
      </w:r>
    </w:p>
    <w:p>
      <w:r>
        <w:rPr>
          <w:b/>
        </w:rPr>
        <w:t>E. 5</w:t>
      </w:r>
    </w:p>
    <w:p>
      <w:r>
        <w:t>comprimés annoncés par l’intéressée. C’est d’ailleurs ce qui s’était vérifié le jour de l’expertise, puisque l’assurée avait annoncé avoir pris deux comprimés de Dafalgan depuis la veille de l’expertise, soit un à</w:t>
      </w:r>
    </w:p>
    <w:p>
      <w:r>
        <w:rPr>
          <w:b/>
        </w:rPr>
        <w:t>E. 6</w:t>
      </w:r>
    </w:p>
    <w:p>
      <w:r>
        <w:t>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En l'occurrence, les faits pertinents ayant pu être constatés à satisfaction de droit, le dossier est suffisamment complet pour permettre à la Cour de statuer en pleine connaissance de cause. Il n'y a dès lors pas lieu de donner suite à la requête de nouvelle expertise formulée par la recourante. Une telle mesure d’instruction ne serait en effet pas de nature à modifier les considérations qui précèdent.</w:t>
      </w:r>
    </w:p>
    <w:p>
      <w:r>
        <w:rPr>
          <w:b/>
        </w:rPr>
        <w:t>E. 7</w:t>
      </w:r>
    </w:p>
    <w:p>
      <w:r>
        <w:t>a) Au vu de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art. 49 al. 1 LPA-VD). En l’espèce, compte tenu de l’ampleur de la procédure, les frais de justice doivent être fixés à 400 fr. et</w:t>
      </w:r>
    </w:p>
    <w:p>
      <w:r>
        <w:t>- 30 - doivent être mis à la charge de la recourante, qui n’obtient pas gain de cause. c) Il n’y a au demeurant pas lieu d’allouer des dépens, la recourante ayant été déboutée de ses conclusions (art. 61 let. g LPGA et art. 55 al. 1 LPA-VD).</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