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ZD16.053247 vom 14. Februar 2019</w:t>
      </w:r>
    </w:p>
    <w:p>
      <w:r>
        <w:t>VD Tribunal cantonal, 2019-02-14, FR</w:t>
      </w:r>
    </w:p>
    <w:p>
      <w:r>
        <w:rPr>
          <w:b/>
        </w:rPr>
        <w:t xml:space="preserve">Quelle: </w:t>
      </w:r>
      <w:r>
        <w:t>https://mcp.opencaselaw.ch/entscheid/vd_gerichte_ZD16.053247</w:t>
      </w:r>
    </w:p>
    <w:p>
      <w:r>
        <w:t>FR: VD_GERICHTE ZD16.053247 du 14 février 2019</w:t>
      </w:r>
    </w:p>
    <w:p>
      <w:r>
        <w:t>IT: VD_GERICHTE ZD16.053247 del 14 febbraio 2019</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w:t>
      </w:r>
    </w:p>
    <w:p>
      <w:r>
        <w:t>- 24 - (TF U 571/06 du 29 mai 2007 consid. 4.2, in SVR 2007 UV n° 33 p. 111 ; Ueli Kieser, ATSG-Kommentar, 2ème éd., n° 12 et 17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9. En l’occurrence, compte tenu des carences dont souffre le dossier quant à l’état de santé psychique du recourant, il s’impose de procéder à une expertise psychiatrique de ce dernier, laquelle devra intégrer l’examen des critères jurisprudentiels pertinents. Cette expertise devra également procéder d’une analyse spécifique à la question de la dépendance à l’alcool présentée par le recourant, à savoir si cette dépendance constitue la cause ou la conséquence d’une atteinte à la santé invalidante (cf. consid. 4 supra). La cause devra par conséquent être renvoyée à l’intimé, auquel il incombe de procéder à un tel complément. Il lui appartiendra dans ce contexte d’actualiser préalablement les données médicales somatiques, la nécessité d’une évaluation bidisciplinaire étant réservée en cas de modification éventuelle de l’état de santé du recourant à cet égard. 10. Il résulte de ce qui précède que le recours, bien fondé, doit être admis, la décision attaquée annulée et la cause renvoyée à l'intimé pour instruction complémentaire dans le sens des considérants.</w:t>
      </w:r>
    </w:p>
    <w:p>
      <w:r>
        <w:t>- 25 -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b) Obtenant gain de cause, le recourant, assisté d'un mandataire professionnel, a par ailleurs droit à des dépens, fixés in casu à 1’500 fr.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