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ZD16.052633 vom 6. Juli 2017</w:t>
      </w:r>
    </w:p>
    <w:p>
      <w:r>
        <w:t>VD Tribunal cantonal, 2017-07-06, FR</w:t>
      </w:r>
    </w:p>
    <w:p>
      <w:r>
        <w:rPr>
          <w:b/>
        </w:rPr>
        <w:t xml:space="preserve">Quelle: </w:t>
      </w:r>
      <w:r>
        <w:t>https://mcp.opencaselaw.ch/entscheid/vd_gerichte_ZD16.052633</w:t>
      </w:r>
    </w:p>
    <w:p>
      <w:r>
        <w:t>FR: VD_GERICHTE ZD16.052633 du 6 juillet 2017</w:t>
      </w:r>
    </w:p>
    <w:p>
      <w:r>
        <w:t>IT: VD_GERICHTE ZD16.052633 del 6 luglio 2017</w:t>
      </w:r>
    </w:p>
    <w:p>
      <w:pPr>
        <w:pStyle w:val="Heading2"/>
      </w:pPr>
      <w:r>
        <w:t>Erwägungen</w:t>
      </w:r>
    </w:p>
    <w:p>
      <w:r>
        <w:rPr>
          <w:b/>
        </w:rPr>
        <w:t>E. 7</w:t>
      </w:r>
    </w:p>
    <w:p>
      <w:r>
        <w:t>a) En définitive, le recours, mal fondé, doit être rejeté et la décision attaquée confirmée.</w:t>
      </w:r>
    </w:p>
    <w:p>
      <w:r>
        <w:t>- 39 - b) En dérogation à l'art. 61 let. a LPGA, la procédure de recours en matière de contestations portant sur l'octroi ou le refus de prestations de l'assurance-invalidité devant le tribunal cantonal des assurances est soumise à des frais judiciaires (art. 69 al. 1bis LAI). En l'espèce, compte tenu de l'ampleur de la procédure, les frais de justice doivent être fixés à 400 fr. et devraient être mis à la charge du recourant, qui succombe. Toutefois, dès lors que ce dernier a obtenu, au titre de l’assistance judiciaire, l’exonération d’avances et des frais judiciaires, ces frais sont laissés provisoirement à la charge de l'Etat. c) Il n'y a, au demeurant, pas lieu d'allouer de dépens, le recourant n'obtenant pas gain de cause (art. 55 al. 1 LPA-VD et 61 let. g LPGA). d) Lorsqu'une partie a été mise au bénéfice de l'assistance judiciaire, comme c’est le cas en l’occurrence, le conseil juridique commis d’office est rémunéré par le canton (art. 118 al. 1 let. a et c CPC [code fédéral de procédure civile du 19 décembre 2008 ; RS 272], applicable par renvoi de l'art. 18 al. 5 LPA-VD). Il y a donc lieu, dans le présent arrêt, de fixer la rémunération de l’avocat d’office. En l’espèce, Me Flattet a chiffré ses opérations à 5 heures de travail. Il a également fait état de photocopies et de frais d’affranchissement. La liste des opérations produite a été contrôlée au regard de la procédure et rentre globalement dans le cadre du bon accomplissement du mandat. C’est ainsi un montant de 900 fr. (5 heures x tarif horaire de 180 fr.) qui doit être reconnu à titre d’honoraires pour les opérations effectuées, plus la TVA à 8 %, d’un montant de 72 fr., soit un total de 972 francs. L’avocat d'office a également droit au remboursement de tous les débours qui s'inscrivent raisonnablement dans l'exécution de sa tâche (ATF 122 I 1 consid. 3a), étant précisé qu'en l'absence de liste des débours, le conseil juridique commis d'office reçoit une indemnité forfaitaire de 50 fr. pour une affaire transigée avant l'ouverture d'action et</w:t>
      </w:r>
    </w:p>
    <w:p>
      <w:r>
        <w:t>- 40 - de 100 fr. dans les autres cas (art. 3 al. 3 RAJ [règlement cantonal vaudois du 7 décembre 2010 sur l’assistance judiciaire en matière civile ; RSV 211.02.3]). En l’occurrence, c’est donc un montant de 100 fr. TVA à 8 % en sus, soit 108 fr., qui doit être reconnu à ce titre. L'indemnité d'office doit ainsi être fixée à 1’080 fr. (972 fr. + 108 fr.).</w:t>
      </w:r>
    </w:p>
    <w:p>
      <w:r>
        <w:t>- 41 - La rémunération du conseil d’office est provisoirement supportée par le canton, le recourant étant rendu attentif au fait qu’il est tenu de rembourser ce montant dès qu’il est en mesure de le faire (art. 123 al. 1 CPC par renvoi de l’art. 18 al. 5 LPA-VD). Il incombe au Service juridique et législatif de fixer les modalités de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