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ZD16.048859 vom 11. Mai 2017</w:t>
      </w:r>
    </w:p>
    <w:p>
      <w:r>
        <w:t>VD Tribunal cantonal, 2017-05-11, FR</w:t>
      </w:r>
    </w:p>
    <w:p>
      <w:r>
        <w:rPr>
          <w:b/>
        </w:rPr>
        <w:t xml:space="preserve">Quelle: </w:t>
      </w:r>
      <w:r>
        <w:t>https://mcp.opencaselaw.ch/entscheid/vd_gerichte_ZD16.048859</w:t>
      </w:r>
    </w:p>
    <w:p>
      <w:r>
        <w:t>FR: VD_GERICHTE ZD16.048859 du 11 mai 2017</w:t>
      </w:r>
    </w:p>
    <w:p>
      <w:r>
        <w:t>IT: VD_GERICHTE ZD16.048859 del 11 maggio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des dérogations expresses prévues (art. 1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w:t>
      </w:r>
    </w:p>
    <w:p>
      <w:r>
        <w:t>- 10 - cantonal (art. 93 let. a LPA-VD et art. 83b LOJV [loi cantonale vaudoise d’organisation judiciaire du 12 décembre 1979 ; RSV 173.01]). b) En l'espèce, le recours a été interjeté dans le délai légal de trente jours (cf. art. 60 al. 1 LPGA). Il satisfait en outre aux autres conditions légales (cf.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125 V 413 consid. 2c). b) En l’espèce, par décision du 7 octobre 2016, l’OAI est entré en matière sur la nouvelle demande de prestations déposée par le recourant le 19 mars 2015, lui a octroyé une rente entière d’invalidité limitée dans le temps du 1er octobre 2015 au 30 juin 2016 et lui a refusé le droit au reclassement. Dans son recours, le recourant ne conteste pas le refus du droit à un reclassement, mais requiert le maintien de sa rente d’invalidité. Le litige a donc pour objet le droit du recourant à une rente de l'assurance-invalidité au-delà du 30 juin 2016, singulièrement le degré d'invalidité qu'il présente depuis cette date.</w:t>
      </w:r>
    </w:p>
    <w:p>
      <w:r>
        <w:rPr>
          <w:b/>
        </w:rPr>
        <w:t>E. 2.3</w:t>
      </w:r>
    </w:p>
    <w:p>
      <w:r>
        <w:t>; 133 V 108 consid. 5 ; 130 V 343 consid. 3.5 ; TF 8C_162/2016 du 2 mars 2017 consid. 3.1).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En l’occurrence, l’OAI a reconnu que l’état de santé du recourant s’était aggravé depuis les décisions des 7 et 21 octobre 2002, qui l’avaient mis au bénéfice d’une rente entière d’invalidité dès le 1er septembre 1998 puis d’une demi-rente du 1er avril 1999 au 31 août 1999. L’intimé a ainsi retenu que l’assuré avait présenté une nouvelle incapacité de travail totale à compter du 7 octobre 2014, qui ouvrait le droit à une</w:t>
      </w:r>
    </w:p>
    <w:p>
      <w:r>
        <w:t>- 13 - rente entière d’invalidité dès le 1er octobre 2015. Reste litigieuse la question de savoir si l’aggravation de l’état de santé reconnue par l’OAI s’est prolongée au-delà du mois de mars 2016 ou si, comme le soutient l’OAI, le recourant bénéficie d’une pleine capacité de travail dans une activité adaptée à partir de cette date, amélioration qui a conduit à l’extinction de son droit à la rente après trois mois, soit au 30 juin 2016.</w:t>
      </w:r>
    </w:p>
    <w:p>
      <w:r>
        <w:rPr>
          <w:b/>
        </w:rPr>
        <w:t>E. 3</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w:t>
      </w:r>
    </w:p>
    <w:p>
      <w:r>
        <w:t>- 11 - 40 % en moyenne durant une année sans interruption notable (let. b) ; au terme de cette année, il est invalide (art. 8 LPGA) à 40 % au moins (let. c). Selon l’art. 28 al. 2 LAI, la rente est échelonnée selon le taux d'invalidité, un taux d'invalidité de 40 % au moins donnant droit à un quart de rente, un taux d'invalidité de 50 % au moins donnant droit à une demi- rente, un taux d'invalidité de 60 % au moins donnant droit à trois-quarts de rente et un taux d'invalidité de 70 % au moins donnant droit à une rente entière.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c)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(ATF 131 V</w:t>
      </w:r>
    </w:p>
    <w:p>
      <w:r>
        <w:t>- 12 - 164 consid. 2.2 ; 125 V 413 consid. 2d et les références ; TF 9C_600/2013 du 18 mars 2014 consid. 2.2).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w:t>
      </w:r>
    </w:p>
    <w:p>
      <w:r>
        <w:t>- 14 -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w:t>
      </w:r>
    </w:p>
    <w:p>
      <w:r>
        <w:rPr>
          <w:b/>
        </w:rPr>
        <w:t>E. 5</w:t>
      </w:r>
    </w:p>
    <w:p>
      <w:r>
        <w:t>En l’occurrence, il n’est pas contesté que le recourant présente une incapacité de travail totale et définitive dans son activité de monteur d’échafaudages. Certes, lors du contrôle post-opératoire du 18 juin 2015, le Dr U.________ a, dans un premier temps, émis un avis optimiste quant à l’amélioration de l’état de santé de son patient et envisageait même une reprise de son activité de monteur d’échafaudages à terme, contrairement à ce qu’avait retenu le médecin traitant de l’assuré, le Dr D.________, dans son rapport médical du 2 avril 2015. En réponse à un questionnaire du SMR, le Dr U.________ a toutefois fait savoir en décembre 2015 qu’une tentative de reprise de l’activité habituelle s’était soldée par échec, l’assuré étant incapable de grimper suffisamment bien les escaliers des échafaudages et de se pencher en portant des charges (cf. rapports médicaux des 15 et 21 décembre 2015). En ce qui concerne la capacité de travail dans une activité adaptée, le Dr U.________ a indiqué dans ses rapports médicaux de décembre 2015 qu’une « activité permettant les changements de position</w:t>
      </w:r>
    </w:p>
    <w:p>
      <w:r>
        <w:t>- 15 - et sans port de charge devrait être possible ce printemps » et qu’une reconversion était indispensable. Il a précisé qu’il reverrait le patient une année plus tard pour un nouveau contrôle clinique et radiologique. C’est sur la base de ces rapports médicaux que le SMR a retenu, dans son avis médical du 2 février 2016, une amélioration de l’état de santé du recourant dès mars 2016 et une pleine capacité de travail dans une activité adaptée. La prise de position du SMR n’emporte toutefois pas la conviction. D’une part, il faut relever que le Dr U.________, en s’exprimant au conditionnel au sujet de la reprise du travail, n’émet qu’une hypothèse. D’autre part, il ne se prononce pas sur le degré de la capacité de travail du recourant dans une activité adaptée. S’agissant des limitations fonctionnelles de l’assuré, le SMR s’écarte même de l’avis du neurochirurgien – qui excluait tout port de charges (cf. rapport médical du 21 décembre 2015) – en retenant, sur la base de la seule appréciation d’un de ses médecins rhumatologues qui n’a pas examiné l’assuré, que ce dernier est en mesure de soulever et de porter des charges inférieures à 7 kg. Ce faisant, il ignore totalement les renseignements donnés par le Dr U.________ dans son rapport médical du 15 décembre 2015, à savoir que l’assuré est incapable de se pencher en portant des charges. De plus, dans ce même rapport, le Dr U.________ évoque une amélioration seulement partielle des capacités physiques de son patient, précisant qu’il porte toujours son corset et arrive à marcher « un peu mieux » dans les escaliers. Par ailleurs, contrairement à ce que retient le SMR, on ne saurait déduire de la seule existence du rendez-vous de contrôle prévu par le Dr U.________ à fin 2016 une stabilisation de l’état de santé du recourant, surtout à lecture du rapport médical de la Dresse X.________ du 19 février 2016, laquelle a indiqué, après avoir examiné l’assuré, que le traitement sous forme de physiothérapie ainsi que d’infiltrations devait se poursuivre et réservait même l’éventualité de l’implantation d’un stimulateur médullaire. De son côté, le Dr F.________ évoquait, à la date de sa consultation du 28 janvier 2016, une aggravation de l’état de santé antérieur à l’opération de mai 2015 et retenait un état douloureux et limitant sur le plan ostéoarticulaire, empêchant une réévaluation de la</w:t>
      </w:r>
    </w:p>
    <w:p>
      <w:r>
        <w:t>- 16 - capacité de travail dans une activité adaptée. Il doit en être déduit que l’incapacité de travail est toujours entière puisqu’elle empêche un « recyclage » ; peu importe en l’espèce que ce terme doive être compris comme une aide au placement plutôt qu’une mesure d’observation ou de réadaptation. Le Dr F.________ évoque en outre la nécessité de mettre en place une expertise rhumatologique pour juger de la capacité de travail du recourant, si son incapacité de travail perdurait au-delà du 1er juin 2016. Dans son rapport médical du 9 mars 2016, le Dr V.________ se prononce sur les limitations fonctionnelles présentées par le recourant et en partie sur sa capacité de travail, qu’il estime possible dans une activité adaptée. Son avis ne saurait cependant être pris en compte puisqu’il précise avoir examiné l’assuré en 2011 pour la dernière fois, soit avant l’aggravation de son état de santé en 2014. Ainsi, l’hypothèse émise par le Dr U.________ en décembre 2015 d’une reprise d’une activité adaptée au printemps 2016 est infirmée par les rapports des Drs F.________ et X.________, lesquels ont examiné le recourant quelques semaines plus tard. En outre, le Dr F.________ s’exprime en qualité de médecin conseil du [...], position présumant une certaine distanciation de la situation de la personne examinée. En l’état actuel des pièces au dossier, il est par conséquent impossible d’apprécier si la capacité de travail du recourant s’est réellement améliorée à partir de mars 2016 et à quel taux.</w:t>
      </w:r>
    </w:p>
    <w:p>
      <w:r>
        <w:rPr>
          <w:b/>
        </w:rPr>
        <w:t>E. 6</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se doit de</w:t>
      </w:r>
    </w:p>
    <w:p>
      <w:r>
        <w:t>- 17 -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s’avère que les faits médicaux pertinents n’ont pas été constatés de manière complète. Il se justifie par conséquent d’ordonner le renvoi de la cause à l’OAl, cette solution apparaissant comme la plus opportune. Il incombera ainsi à l’intimé de procéder à des mesures d’instruction complémentaires, à tout le moins à la mise en œuvre d’un examen clinique, afin de déterminer la capacité de travail du recourant dans une activité adaptée ainsi que ses limitations fonctionnelles. Cela fait, il appartiendra ensuite à l’intimé de rendre une nouvelle décision statuant sur les prétentions du recourant.</w:t>
      </w:r>
    </w:p>
    <w:p>
      <w:r>
        <w:rPr>
          <w:b/>
        </w:rPr>
        <w:t>E. 7</w:t>
      </w:r>
    </w:p>
    <w:p>
      <w:r>
        <w:t>a) Il s’ensuit que le recours est admis. La décision attaquée est annulée en tant qu’elle met fin au droit aux prestations le 30 juin 2016, et la cause renvoyée à l’OAI pour instruction complémentaire au sens de ce qui précède,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w:t>
      </w:r>
    </w:p>
    <w:p>
      <w:r>
        <w:t>- 18 - en fonction de la charge liée à la procédure, indépendamment de la valeur litigieuse, et doit se situer entre 200 et 1'000 fr. (cf. art. 69 al. 1bis LAI). En l’espèce, compte tenu de l’ampleur de la procédure, les frais de justice doivent être arrêtés à 400 fr. et mis à la charge de l’office intimé, qui succombe (cf. art. 69 al. 1bis LAI ; art. 49 al. 1 LPA-VD). c) Selon l’art. 55 LPA-VD, applicable sur renvoi de l’art. 99 al. 1 LPA-VD, en procédure de recours et de révision, l'autorité alloue une indemnité à la partie qui obtient totalement ou partiellement gain de cause, en remboursement des frais qu'elle a engagés pour défendre ses intérêts. En l’occurrence, le recourant, qui est représenté par Unia Le Syndicat, soit un organisme privé agissant en tant que protection juridique, a droit à des dépens (cf. ATF 126 V 11 ; 135 V 473) dans la mesure où il obtient gain de cause. Leur montant doit être déterminé, sans égard à la valeur litigieuse, d’après l’importance et la complexité du litige (art. 61 let. g LPGA). En l’espèce, il convient de fixer le montant des dépens à 750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