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ZD16.046478 vom 25. Juli 2017</w:t>
      </w:r>
    </w:p>
    <w:p>
      <w:r>
        <w:t>VD Tribunal cantonal, 2017-07-25, FR</w:t>
      </w:r>
    </w:p>
    <w:p>
      <w:r>
        <w:rPr>
          <w:b/>
        </w:rPr>
        <w:t xml:space="preserve">Quelle: </w:t>
      </w:r>
      <w:r>
        <w:t>https://mcp.opencaselaw.ch/entscheid/vd_gerichte_ZD16.046478</w:t>
      </w:r>
    </w:p>
    <w:p>
      <w:r>
        <w:t>FR: VD_GERICHTE ZD16.046478 du 25 juillet 2017</w:t>
      </w:r>
    </w:p>
    <w:p>
      <w:r>
        <w:t>IT: VD_GERICHTE ZD16.046478 del 25 luglio 2017</w:t>
      </w:r>
    </w:p>
    <w:p>
      <w:pPr>
        <w:pStyle w:val="Heading2"/>
      </w:pPr>
      <w:r>
        <w:t>Erwägungen</w:t>
      </w:r>
    </w:p>
    <w:p>
      <w:r>
        <w:rPr>
          <w:b/>
        </w:rPr>
        <w:t>E. 6</w:t>
      </w:r>
    </w:p>
    <w:p>
      <w:r>
        <w:t>a) L’office AI a refusé la prise en charge des coûts supplémentaires de l’appareillage acoustique sollicité, faute pour l’assuré de remplir les conditions permettant la reconnaissance d’un cas de rigueur. En effet, outre qu’il n’exerce pas d’activité lucrative ni ne suit aucune formation continue, l’autorité intimée considère que le fait de s’occuper de ses petits-enfants ne suffit pas pour admettre qu’il exerce ses travaux habituels. Pour sa part, le recourant expose qu’il vit seul, ce qui implique qu’il doit gérer lui-même toutes ses affaires administratives, son ménage et toutes les autres tâches de la vie quotidienne. De plus, les tâches ménagères à accomplir ressortent de la vie quotidienne de tout un chacun (nettoyage, lessive, repassage, affaires administratives, achats, déplacements à l’extérieur, …). Le recourant s’occupe en outre quotidiennement de ses quatre petits-enfants pendant que leurs parents travaillent, ce qui suppose une constante disponibilité et une attention soutenue. Force est de constater que le dossier tel que constitué ne contient aucune pièce, laissant entendre que le recourant ne serait pas en mesure d’accomplir ses travaux habituels. b) Cela étant, il ressort clairement de la circulaire ad hoc (CMAI) qu’une demande telle que celle de l’assuré doit être soumise à l’examen d’une des cliniques agréées (ch. 2053*), lesquelles reçoivent les documents prérequis par l’office AI puis sont chargées d’établir une recommandation portant sur l’existence même d’un cas de rigueur (ch. 2056*). Ainsi, il ne s’agit pas d’un simple examen clinique, mais d’un préavis portant sur la réalisation des conditions matérielles du droit à la prestation, singulièrement aussi l’opportunité d’un tel octroi.</w:t>
      </w:r>
    </w:p>
    <w:p>
      <w:r>
        <w:t>- 14 - Il convient par ailleurs de souligner que l’existence d’un cas de rigueur s’apprécie avant tout à l’aune de critères audiologiques, comme cela ressort de la circulaire n° 304 ainsi que du besoin de réadaptation de l’assuré. Il appartenait ainsi à l’office AI de déterminer si les critères audiologiques étaient réalisés. L’office AI ne pouvait dès lors se dispenser de faire procéder à cet examen par une clinique ORL agréée sans contrevenir à son obligation de diligenter correctement l’instruction, dans le respect des règles prescrites et des droits de l’assuré en découlant. c) Eu égard à ce qui précède, la décision entreprise s’avère non conforme au droit dès lors qu’elle a nié l’existence d’un cas de rigueur sans apprécier la situation médicale.</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w:t>
      </w:r>
    </w:p>
    <w:p>
      <w:r>
        <w:t>- 15 - par l’administration en cours d’instruction ne revêtent pas une valeur probante suffisante sur des points décisifs (cf. ATF 137 V 210 consid. 4.4.1.4 et 4.4.1.5). b) Contrevenant à son devoir de prendre d’office toutes les mesures d’instruction nécessaires (art. 43 al. 1 LPGA), – l’examen du cas par une clinique agréée l’étant manifestement, ce dont l’office AI ne disconvient au demeurant pas –, l’intimé doit être sanctionné par un renvoi à compléter l’instruction dans ce sens en interpellant le Service ORL de l’Hôpital S.________ tel que figurant sur la liste agréée (cf. ch. 2053* CMAI). A cette occasion, il instruira également la question de la prise d’emploi soulevée par le recourant en cours de procédure. Cela fait, il appartiendra ensuite à l’intimé de rendre une nouvelle décision statuant sur les prétentions du recourant.</w:t>
      </w:r>
    </w:p>
    <w:p>
      <w:r>
        <w:rPr>
          <w:b/>
        </w:rPr>
        <w:t>E. 8</w:t>
      </w:r>
    </w:p>
    <w:p>
      <w:r>
        <w:t>En définitive, bien-fondé, le recours doit être admis, la décision attaquée annulée et la cause renvoyée à l'office AI pour qu'il rende une nouvelle décision après avoir procédé à un complément d'instruction conformément aux considérants.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 et seront supportés par l’intimé qui succombe (art. 69 al. 1bis LAI). b) Le recourant, qui obtient gain de cause avec l’assistance d’un avocat d’Inclusion Handicap, peut prétendre une indemnité de dépens à la charge de l'intimé (art. 61 let. g LPGA ; art. 55 al. 1 LPA-VD ; art. 10 et 11 TFJDA [tarif cantonal vaudois des frais judiciaires et des dépens en matière administrative du 28 avril 2015 ; RSV 173.36.5.1]) et</w:t>
      </w:r>
    </w:p>
    <w:p>
      <w:r>
        <w:t>- 16 - qu'il y a lieu de fixer à 1'200 fr., compte tenu de l’importance et de la complexité de l'affaire. Par ces motifs, le juge unique p r o n o n c e : I. Le recours est admis. II. La décision rendue le 20 septembre 2016 par l’Office de l’assurance-invalidité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N.________ une indemnité de 1'200 fr. (mille deux cents francs) à titre de dépens. Le juge unique : Le greffier :</w:t>
      </w:r>
    </w:p>
    <w:p>
      <w:r>
        <w:t>- 17 - Du L'arrêt qui précède est notifié à : - Inclusion Handicap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