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ZD16.045944 vom 1. Juni 2017</w:t>
      </w:r>
    </w:p>
    <w:p>
      <w:r>
        <w:t>VD Tribunal cantonal, 2017-06-01, FR</w:t>
      </w:r>
    </w:p>
    <w:p>
      <w:r>
        <w:rPr>
          <w:b/>
        </w:rPr>
        <w:t xml:space="preserve">Quelle: </w:t>
      </w:r>
      <w:r>
        <w:t>https://mcp.opencaselaw.ch/entscheid/vd_gerichte_ZD16.045944</w:t>
      </w:r>
    </w:p>
    <w:p>
      <w:r>
        <w:t>FR: VD_GERICHTE ZD16.045944 du 1 juin 2017</w:t>
      </w:r>
    </w:p>
    <w:p>
      <w:r>
        <w:t>IT: VD_GERICHTE ZD16.045944 del 1 giugno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w:t>
      </w:r>
    </w:p>
    <w:p>
      <w:r>
        <w:t>- 12 -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Le recours a été formé en temps utile devant le tribunal compétent et dans le respect des formalités prévues par la loi (art. 61 let. b LPGA), de sorte qu’il est recevable.</w:t>
      </w:r>
    </w:p>
    <w:p>
      <w:r>
        <w:rPr>
          <w:b/>
        </w:rPr>
        <w:t>E. 2</w:t>
      </w:r>
    </w:p>
    <w:p>
      <w:r>
        <w:t>Par un grief d'ordre formel qu'il convient d'examiner en premier lieu, le recourant soutient que la décision attaquée ne contient quasiment aucune motivation qui permettrait de comprendre le refus de prestations.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126 I 15 consid. 2a/aa ; TF 9C_193/2013 du 22 juillet 2013 consid. 3.1.1). L'autorité administrative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w:t>
      </w:r>
    </w:p>
    <w:p>
      <w:r>
        <w:t>- 13 -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et 135 I 279 consid. 2.6.1). b) En l'occurrence, il convient de relever que la motivation de la décision litigieuse n’est pas particulièrement étayée s’agissant de l’examen des éléments pertinents pour l'évaluation de l'invalidité. Cela étant, ainsi que cela ressort de son mémoire de recours du 17 octobre 2016, l'intéressé, au demeurant assisté par un mandataire professionnel, a été en mesure de saisir les fondements essentiels de cette décision, à savoir, en particulier, que l'OAI s'est basé sur les conclusions du rapport d'expertise du 26 février 2016 du Dr K.________ et sur l'avis du 28 juin 2016 de la Dresse W.________ du SMR pour évaluer sa capacité de travail. Du reste, l'OAI a précisé dans son courrier explicatif du 12 septembre 2016, joint à la décision litigieuse, que la contestation du 10 juin 2016 et ses annexes n'apportaient pas d'éléments susceptibles de modifier sa position. En tous les cas, une éventuelle violation du droit d’être entendu devrait être considérée comme guérie devant la juridiction de céans, le recourant (cf. mémoire de recours précité, réplique du 7 février 2017), comme l’intimé (cf. réponse du 5 décembre 2016, duplique du 28 février 2017) ayant eu l’occasion de faire valoir leurs points de vue respectifs au cours de la présente procédure judiciaire, ouverte devant une instance</w:t>
      </w:r>
    </w:p>
    <w:p>
      <w:r>
        <w:t>- 14 - jouissant d’un plein pouvoir d’examen pour statuer. En effet, le recours selon les art. 56 ss LPGA est un moyen de droit complet permettant un examen de la décision entreprise en fait et en droit (TF 9C_205/2013 du 1er octobre 2013 consid. 1.3, renvoyant à 9C_127/2007 du 12 février 2008 consid. 2.2). En conséquence, l’argument tiré d’un défaut de motivation et donc, d'une violation du droit d'être entendu, doit être écarté.</w:t>
      </w:r>
    </w:p>
    <w:p>
      <w:r>
        <w:rPr>
          <w:b/>
        </w:rPr>
        <w:t>E. 3</w:t>
      </w:r>
    </w:p>
    <w:p>
      <w:r>
        <w:t>Sur le fond, est litigieuse la question de savoir si le recourant a droit à des prestations de l'assurance-invalidité (mesure de reclassement, rente).</w:t>
      </w:r>
    </w:p>
    <w:p>
      <w:r>
        <w:rPr>
          <w:b/>
        </w:rPr>
        <w:t>E. 4</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w:t>
      </w:r>
    </w:p>
    <w:p>
      <w:r>
        <w:t>- 15 - exerçant l’activité qui peut raisonnablement être exigée de lui après les traitements et les mesures de réadaptation, sur un marché du travail équilibré (art. 16 LPGA). L'assuré a droit au reclassement dans une nouvelle profession si son invalidité rend cette mesure nécessaire et que sa capacité de gain peut ainsi, selon toute vraisemblance, être maintenue ou améliorée (art.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w:t>
      </w:r>
    </w:p>
    <w:p>
      <w:r>
        <w:rPr>
          <w:b/>
        </w:rPr>
        <w:t>E. 4.2</w:t>
      </w:r>
    </w:p>
    <w:p>
      <w:r>
        <w:t>et les références ; TF 9C_394/2013 du 27 septembre 2013 consid. 3.1).</w:t>
      </w:r>
    </w:p>
    <w:p>
      <w:r>
        <w:rPr>
          <w:b/>
        </w:rPr>
        <w:t>E. 5</w:t>
      </w:r>
    </w:p>
    <w:p>
      <w:r>
        <w:t>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w:t>
      </w:r>
    </w:p>
    <w:p>
      <w:r>
        <w:t>- 16 -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w:t>
      </w:r>
    </w:p>
    <w:p>
      <w:r>
        <w:t>- 17 -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(consid. 4.4 de l’arrêt cité).</w:t>
      </w:r>
    </w:p>
    <w:p>
      <w:r>
        <w:rPr>
          <w:b/>
        </w:rPr>
        <w:t>E. 6</w:t>
      </w:r>
    </w:p>
    <w:p>
      <w:r>
        <w:t>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w:t>
      </w:r>
    </w:p>
    <w:p>
      <w:r>
        <w:t>- 18 - (ATF 126 V 353 consid. 5b et 125 V 351 consid. 3a ; TF 9C_418/2007 du 8 avril 2008 consid. 2.1).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Un rapport médical qui émane d'un service médical régional au sens de l'art. 59 al. 2bis LAI a valeur probante s'il remplit les exigences requises par la jurisprudence sur le contenu des rapports médicaux rappelées ci-dessus (TF 9C_600/2010 du 21 janvier 2011 consid. 2). Selon la Haute Cour, les constatations émanant de médecins consultés par l'assuré doivent être admises avec réserve. Il faut en effet tenir compte du fait que, de par la position de confidents privilégiés que</w:t>
      </w:r>
    </w:p>
    <w:p>
      <w:r>
        <w:t>- 19 -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w:t>
      </w:r>
    </w:p>
    <w:p>
      <w:r>
        <w:rPr>
          <w:b/>
        </w:rPr>
        <w:t>E. 7</w:t>
      </w:r>
    </w:p>
    <w:p>
      <w:r>
        <w:t>En l'espèce, le recourant soutient qu'il souffre d'électrosensibilité et de troubles psychiques invalidants, en se référant aux rapports des Drs S.________, R.________ et H.________, lesquels font état d'une incapacité totale de travail dans l'activité habituelle. L'intimé, se fondant sur le rapport d'expertise du 26 février 2016 du Dr K.________, ainsi que sur l'avis du 28 juin 2016 de la Dresse W.________ du SMR, retient au contraire que l'intéressé dispose d'une pleine capacité de travail dans son activité habituelle. a) Comme le concède à juste titre le recourant dans son courrier du 10 juin 2016, le phénomène de l'électro-hypersensiblité n'est pas reconnu officiellement comme une atteinte à la santé à caractère invalidant. En effet, selon l'Organisation mondiale de la santé (OMS), le lien de causalité entre les symptômes décrits et l'exposition aux champs électromagnétiques n'est pas prouvé scientifiquement. Pour cette raison, l'électro-hypersensibilité n'est pas un diagnostic médical (OMS, International Workshop on Electromagnetic Field Hypersensitivity, Prague 2004, p. 4). Ainsi, le corps médical ne reconnaît pas de lien de causalité entre ces troubles et les champs électromagnétiques. Les conclusions de l'OMS restent d'actualité puisque, plus récemment, l'Office fédéral de l'environnement (OFEV) a énoncé que les méthodes scientifiques actuelles n’avaient pas permis de prouver que les troubles ressentis par les personnes électrosensibles découlaient d’une exposition quotidienne aux champs électromagnétiques (OFEV, Hypersensibilité électromagnétique, Berne 2012, p. 3). Dans un arrêt U 71/05 du 9 août 2009, le Tribunal fédéral des assurances a considéré qu'il n'avait pas été prouvé que l'alopécie et les divers symptômes secondaires allégués par l'assurée avaient été causés exclusivement ou de manière prépondérante par l'électrosmog (consid. 4.2.1). Au vu de ce qui précède, l'électro-</w:t>
      </w:r>
    </w:p>
    <w:p>
      <w:r>
        <w:t>- 20 - hypersensibilité en tant que telle ne peut être retenue comme invalidante au sens de l'assurance-invalidité. b) S'agissant des troubles psychiques, le Dr K.________ a conclu, dans son rapport d'expertise psychiatrique du 26 février 2016, que le recourant présentait une capacité totale de travail. Cette expertise a été établie en pleine connaissance de l'anamnèse. De plus, l'expert a eu deux entretiens téléphoniques, les 11 et 19 février 2016, avec le Dr R.________, psychiatre traitant du recourant depuis le 23 février 2015. Ces appels ont été l'occasion d'une discussion entre les deux spécialistes du cas de l'intéressé. En outre, le Dr K.________ a tenu compte des documents établis par le recourant décrivant ses symptômes, son mode de vie et le matériel de protection utilisé, ainsi que du témoignage de son amie quant aux malaises survenus en avril et novembre 2015. Même si le dossier déposé par l'intéressé dans le cadre de son courrier de contestation du 10 juin 2016 (matériel de protection, changements effectués dans son logement, description de sa vie quotidienne, témoignages de proches) est plus complet que les éléments qui ont été soumis à l'expert, les documents transmis au Dr K.________ étaient suffisants pour qu'il puisse se déterminer en connaissance de cause. L'expert a également pris en considération les plaintes du recourant. De surcroît, la description du contexte médical faite par le Dr K.________ et son appréciation de la situation médicale sont claires. Il a expliqué de manière détaillée et pertinente les différents éléments l'ayant amené à ses conclusions, qui sont ainsi bien motivées. En effet, il a indiqué que le recourant présentait des symptômes dépressifs de peu de sévérité en termes d'une diminution de l'intérêt et du plaisir, ainsi que d'une fatigue, de même qu'une anxiété, laquelle n'avait pas les caractéristiques d'un trouble spécifique. De plus, il a noté que l'intéressé rapportait des vertiges, des maux de ventre, des céphalées d'allure fonctionnelle et des sensations de jambes coupées, entre autres éléments qui pourraient être assimilés à des manifestations neurovégétatives,</w:t>
      </w:r>
    </w:p>
    <w:p>
      <w:r>
        <w:t>- 21 - même si le recourant les reliait à une hypersensibilité électromagnétique. Au vu de ces éléments, l'expert a posé le diagnostic de trouble anxieux et dépressif mixte (F41.2) (p. 8 s.). Il a expliqué que ce trouble ne sortait pas de l'ordinaire et que les éléments dépressifs, de même que l'anxiété, restaient de peu de sévérité, de telle manière qu'ils n'entraînaient aucune incapacité de travail (p. 13). Quant à l'hypersensibilité électromagnétique, il a précisé à juste titre qu'elle n'était pas un diagnostic médical. Il a détaillé plusieurs autres diagnostics, notamment ceux de trouble délirant persistant et de trouble obsessionnel compulsif, en expliquant les raisons pour lesquelles il les écartait, avant d'indiquer que l'on pourrait tout au plus admettre un trouble somatoforme non spécifié (F45.9) (p. 9 ss). Selon la nouvelle jurisprudence en matière de troubles somatoformes, il faut en premier lieu, pour qu'un tel trouble soit retenu, que l'atteinte soit diagnostiquée dans les règles de l'art, en faisant notamment référence aux limitations fonctionnelles constatées (cf. consid. 5 supra). En l'occurrence, l'expert aboutit à ce diagnostic par défaut, en indiquant que celui-ci est « tout au plus possible ». Ceci n'est pas suffisant pour reconnaître l'existence d'un tel trouble, ce d'autant plus qu'aucun autre spécialiste s'étant prononcé dans ce dossier n'a posé un tel diagnostic. En tout état de cause, comme le relève la Dresse W.________ du SMR, le Dr K.________ a procédé à une analyse des indicateurs de la nouvelle jurisprudence en la matière pour se déterminer quant à la capacité de travail de l'intéressé (cf. avis médical du 28 juin 2016 de la Dresse W.________). Ainsi, l'expert a notamment expliqué que le recourant conservait des ressources psychiques importantes, en détaillant les raisons qui lui permettait d'aboutir à ce constat (p. 14). Il a également relevé que l'intéressé entretenait une bonne relation avec sa compagne et leurs enfants, dont il s'occupait lorsqu'elle était au travail. Le Dr K.________ a conclu, au vu du tableau clinique global, de la présentation atypique, et des ressources conséquentes dont disposait l'intéressé, que ce trouble n'entraînait lui non plus pas d'incapacité de travail au niveau psychiatrique (p. 14 s.). L'appréciation et les conclusions de l'expert sont ainsi bien étayées et convaincantes.</w:t>
      </w:r>
    </w:p>
    <w:p>
      <w:r>
        <w:t>- 22 - Par ailleurs, contrairement à ce que soutient le recourant, le rapport d'expertise ne révèle pas de contradictions. En particulier, lorsque l'expert a mentionné que la situation de l'intéressé ne sortait pas de l'ordinaire, il se rapportait précisément au trouble anxieux et dépressif mixte (p. 13), et non aux changements de comportement que l'assuré a présenté en rapport avec sa conviction d'hypersensibilité électromagnétique, que l'expert a qualifié à juste titre de « très importants » (p. 14). Compte tenu de ce qui précède, l'expertise remplit les critères jurisprudentiels pour disposer d'une pleine valeur probante. Dans ces circonstances, le fait que le Dr K.________ a été mandaté par une autre assurance ne permet pas de remettre en cause cette expertise. Ses conclusions sont d'ailleurs confirmées par la Dresse W.________, qui a déclaré qu'il n'y avait aucun motif de s'en écarter (cf. rapport du 2 mai 2016). Certes, les pièces au dossier ne permettent pas de savoir si la Dresse W.________ dispose de compétences particulières en psychiatrie. Toutefois, en l'occurrence, son rôle consiste notamment à analyser les différentes pièces au dossier et à se prononcer à leur sujet. Sa formation et son expérience de médecin sont suffisantes pour lui permettre de déterminer si un rapport médical est cohérent et convaincant, de manière à ce que l'OAI puisse s'y fonder pour statuer sur le droit aux prestations. Les autres éléments médicaux figurant au dossier ne sont pas de nature à remettre en cause les conclusions de l'expertise. En particulier, les diagnostics posés par la Dresse H.________ (cf. courrier du 26 mai 2016 adressé au conseil du recourant) ont en partie été écartés de manière convaincante par le Dr K.________. En effet, dans son expertise, ce dernier a retenu que le trouble obsessionnel compulsif impliquait des obsessions et des rituels, concernant notamment le nettoyage, le rangement et la vérification, que le recourant ne présentait pas. De plus, selon l'expert, un trouble obsessionnel compulsif n'expliquerait pas davantage les symptômes « somatiques » allégués, tels que les crises (p.</w:t>
      </w:r>
    </w:p>
    <w:p>
      <w:r>
        <w:rPr>
          <w:b/>
        </w:rPr>
        <w:t>E. 11</w:t>
      </w:r>
    </w:p>
    <w:p>
      <w:r>
        <w:t>s. de l'expertise précitée). Par ailleurs, comme le relève la Dresse W.________, le courrier précité de la Dresse H.________ n'amène</w:t>
      </w:r>
    </w:p>
    <w:p>
      <w:r>
        <w:t>- 23 - aucun élément médical nouveau et ne constitue qu'une appréciation différente de la même situation clinique (cf. avis médical du 28 juin 2016). Enfin, la Dresse H.________ est l'un des psychiatres traitants du recourant, dont les constatations doivent être de ce fait admises avec réserve (cf. consid. 6b supra). Quant aux Drs S.________ et R.________, ils font état d'une capacité de travail nulle dans l'activité habituelle et de l'ordre de 30 %, puis de 50 % selon leurs rapports les plus récents, dans une activité adaptée. Ces médecins sont également les psychiatres traitants de l'intéressé. Il ressort de leurs nombreux rapports et courriers que même si leurs appréciations médicales divergent de celle de l'expert, ils ne font pas état d'éléments objectivement vérifiables qui auraient été ignorés dans le cadre de l'expertise et qui seraient suffisamment pertinents pour remettre en cause le bien-fondé de ses conclusions ou en établir le caractère incomplet. En particulier, le diagnostic de trouble délirant persistant qu'ils ont posé dans leurs premiers rapports médicaux (cf. rapports du 8 octobre 2015 et du 8 mars 2016) – avant de se rétracter – a été écarté de manière convaincante par l'expertise du Dr K.________. En effet, ce spécialiste a expliqué que pour qu'un tel diagnostic soit retenu, les idées délirantes devaient être propres aux sujets en cause, ce qui n'était pas le cas ici, la conviction d'être électrosensible étant également partagée par d'autres individus. L'expert a ajouté que le trouble délirant persistant n'expliquait pas les symptômes « somatiques » allégués par le recourant (p. 11 de l'expertise précitée). Par la suite, les Drs S.________ et R.________ ont notamment posé le diagnostic de forte suspicion clinique de crises fonctionnelles récidivantes de type pseudo-épileptiques (cf. courrier du 9 juin 2016). Ce diagnostic décrit une atteinte fonctionnelle. S'agissant de ce type d'atteinte, le Dr K.________ a énoncé que le diagnostic de trouble somatoforme non spécifié était tout au plus possible, au vu de la présentation atypique, et qu'elle n'entraînait pas d'incapacité de travail. La Dresse W.________ a du reste précisément indiqué que le courrier du 9 juin 2016 précité n'amenait pas d'élément médical nouveau (cf. avis médical du 28 juin 2016). Il en va de même des courriers des 13 octobre 2016 et 23 janvier 2017, par lesquels les Drs S.________ et R.________ ont confirmé</w:t>
      </w:r>
    </w:p>
    <w:p>
      <w:r>
        <w:t>- 24 - leur impression diagnostique et l'incapacité totale de travail dans l'activité habituelle. Ainsi, leur opinion contradictoire ne suffit pas pour remettre en question les conclusions de l'expertise et justifier qu'il soit procédé à de nouvelles investigations. Il en va de même des appréciations des Drs X.________ et L.________, attestant une incapacité de travail totale dans l'activité habituelle. En effet, ils ne sont pas spécialisés en psychiatrie et psychothérapie. Ils sont par ailleurs les médecins traitants du recourant (médecin généraliste et médecin homéopathe), dont les constatations, tel que susmentionné, doivent de ce fait être admises avec réserve (cf. consid. 6b supra). Par ailleurs, le recourant ne peut se fonder sur la communication du 29 octobre 2015 de l'OAI énonçant que sa situation médicale n'était pas encore stabilisée pour critiquer l'expertise en ce sens qu'elle a été réalisée seulement quatre mois après ce courrier. En effet, cette communication a fait suite à l'avis médical du 27 octobre 2015 de la Dresse W.________ qui proposait d'inviter, en janvier 2016 – soit après trois mois –, les Drs S.________ et R.________ à se prononcer sur l'évolution de l'état de santé de leur patient, jugeant que l'écoulement de ces quelques mois était nécessaire et suffisant avant de requérir de nouveaux documents médicaux. Enfin, une situation financière précaire, telle qu'alléguée par le recourant, n'entre pas en considération dans le présent litige, celui-ci portant uniquement sur l'évaluation de son état de santé. c) Au vu de ce qui précède, l'intimé était légitimé à se fonder sur le rapport d'expertise du Dr K.________ et sur l'avis médical de la Dresse W.________ pour conclure que le recourant disposait d'une pleine capacité de travail dans son activité habituelle. Dès lors que l'une des conditions du droit à la rente d'invalidité est d'avoir présenté une incapacité de travail d’au moins 40 % en moyenne durant une année sans interruption notable (art. 28 al. 1 let. b LAI, cf. consid. 4 supra), c'est à</w:t>
      </w:r>
    </w:p>
    <w:p>
      <w:r>
        <w:t>- 25 - juste titre que l'intimé a refusé de lui allouer une telle rente. L'intimé était également fondé à refuser l'octroi d'un reclassement professionnel, l'intéressé ne subissant aucune diminution de sa capacité de gain (cf. consid. 4 supra). 8. Il convient néanmoins de relever que dans son rapport d'expertise, le Dr K.________ a souligné que le pronostic psychiatrique pourrait être réservé (p. 15). Le Dr R.________ n'a lui aussi pas fait mention d'un pronostic favorable (cf. rapport du 1er février 2016). Ainsi, en cas d'aggravation de son état de santé, le recourant pourra déposer une nouvelle demande de prestations auprès de l'intimé, qui, cas échéant, sera susceptible de déboucher sur la mise en œuvre d'une nouvelle expertise.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Il 425 consid. 2.1, 122 lI 464 consid. 4a, 122 III 219 consid. 3c, 120 lb 224 consid. 2b). En l'occurrence, le dossier est complet du point de vue médical et permet à la Cour de céans de statuer, de sorte qu'il n'y a pas lieu d'ordonner le renvoi de la cause à l'intimé pour qu'il en complète l'instruction, ni la mise en œuvre d'une expertise psychiatrique judiciaire, tels que requis par le recourant. 10.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w:t>
      </w:r>
    </w:p>
    <w:p>
      <w:r>
        <w:t>- 26 -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