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ZD16.045486 vom 11. Dezember 2017</w:t>
      </w:r>
    </w:p>
    <w:p>
      <w:r>
        <w:t>VD Tribunal cantonal, 2017-12-11, FR</w:t>
      </w:r>
    </w:p>
    <w:p>
      <w:r>
        <w:rPr>
          <w:b/>
        </w:rPr>
        <w:t xml:space="preserve">Quelle: </w:t>
      </w:r>
      <w:r>
        <w:t>https://mcp.opencaselaw.ch/entscheid/vd_gerichte_ZD16.045486</w:t>
      </w:r>
    </w:p>
    <w:p>
      <w:r>
        <w:t>FR: VD_GERICHTE ZD16.045486 du 11 décembre 2017</w:t>
      </w:r>
    </w:p>
    <w:p>
      <w:r>
        <w:t>IT: VD_GERICHTE ZD16.045486 del 11 dicembre 2017</w:t>
      </w:r>
    </w:p>
    <w:p>
      <w:pPr>
        <w:pStyle w:val="Heading2"/>
      </w:pPr>
      <w:r>
        <w:t>Erwägungen</w:t>
      </w:r>
    </w:p>
    <w:p>
      <w:r>
        <w:rPr>
          <w:b/>
        </w:rPr>
        <w:t>E. 1</w:t>
      </w:r>
    </w:p>
    <w:p>
      <w:r>
        <w:t>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w:t>
      </w:r>
    </w:p>
    <w:p>
      <w:r>
        <w:rPr>
          <w:b/>
        </w:rPr>
        <w:t>E. 2</w:t>
      </w:r>
    </w:p>
    <w:p>
      <w:r>
        <w:t>En l’espèce, le litige porte sur le droit du recourant à une rente d’invalidité ou à des mesures de reclassement professionnel.</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prévoit qu'est réputée incapacité de travail toute perte, totale ou partielle, de l'aptitude de l'assuré à accomplir dans sa profession ou son domaine</w:t>
      </w:r>
    </w:p>
    <w:p>
      <w:r>
        <w:t>- 11 -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(al. 2). A teneur de l'art. 28 al. 2 LAI, la rente est échelonnée selon le degré d'invalidité ;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Selon l’art. 28 al. 1 LAI,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et I 562/06 du 25 juillet 2007 consid. 2.1).</w:t>
      </w:r>
    </w:p>
    <w:p>
      <w:r>
        <w:t>- 12 -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c)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 au moins (ATF 124 V 108 consid. 2b). Par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w:t>
      </w:r>
    </w:p>
    <w:p>
      <w:r>
        <w:t>- 13 -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et 110 V 102). Le seuil minimum fixé par la jurisprudence pour l'ouverture du droit à des mesures de réadaptation d'ordre professionnel est une diminution de la capacité de gain de 20% environ (ATF 130 V 488 consid. 4.2 et 124 V 108 consid. 2b précité ; TF 9C_177/2015 du 18 septembre 2015 consid. 4.1, 9C_818/2007 du 11 novembre 2008 consid. 2.2 et 8C_36/2009 du 15 avril 2009 consid. 4). Pour déterminer si une mesure de réadaptation est de nature à rétablir, à maintenir ou à améliorer la capacité de gain de l'assuré (art. 8 al. 1 LAI), il convient d'effectuer un pronostic sur les chances de succès des mesures demandées (ATF 132 V 215 consid. 3.2.2 et 110 V 102). Des mesures d'ordre professionnel ne seront pas allouées si elles sont vouées à l'échec, selon toute vraisemblance (TF I 95/2007 du 15 février 2008 consid. 4.3, I 938/2006 du 29 octobre 2007 consid. 4.1 et I 170/2006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et 9C_420/2009 du 24 novembre 2009 consid. 5.4 ; TFA I 268/2003 du 4 mai 2004 consid. 2.2 ; VSI 2002 p. 112 consid. 2 et les références citées). Partant, si l'aptitude subjective de réadaptation de l'assuré fait défaut, l'administration peut refuser de mettre en œuvre une mesure ou y mettre fin (TF I 552/2006 du 13 juin 2007 consid. 3.2 ; TFA I 370/1998 du 26 août 1999, publié in VSI 2002 p. 111).</w:t>
      </w:r>
    </w:p>
    <w:p>
      <w:r>
        <w:rPr>
          <w:b/>
        </w:rPr>
        <w:t>E. 4</w:t>
      </w:r>
    </w:p>
    <w:p>
      <w:r>
        <w:t>Le recourant conteste en l’occurrence, sur le plan médical, que son état de santé lui permet, dès juillet 2014, l’exercice à 100 % d’une activité adaptée, comme l’a retenu l’intimé. Il lui oppose l’opinion du Dr</w:t>
      </w:r>
    </w:p>
    <w:p>
      <w:r>
        <w:t>- 14 - N.________ pour lequel une reprise de travail est possible en plein, dès le 19 septembre 2015, dans une activité respectant des restrictions fonctionnelles (à savoir : éviter les ports de charges lourdes, les mouvements brusques, épargne du genou droit, du membre supérieur et de l’épaule gauche), avis que partageraient tant les médecins traitants que ceux de la CNA. A suivre le recourant, l’OAI ne saurait se fonder sur l’avis SMR du 13 mai 2016 « laconique » sous peine de se livrer à une instruction médicale incomplète. Le Dr I.__________ du SMR n’exposerait pas les motifs qui le conduisent à estimer que la nouvelle limitation à l’épaule gauche ne modifie pas l’exigibilité à 100 % dans une activité adaptée précédemment retenue. Or les « importantes » limitations au genou droit et à l’épaule gauche ont motivé un nouveau séjour à la CRR à l’automne 2016. Des mesures de reclassement s’avéreraient nécessaires pour évaluer l’exigibilité du recourant dans l’exercice d’une activité adaptée étant admis que l’incapacité de travail totale dans l’activité usuelle de chauffeur-livreur ouvrirait per se le droit à de telles mesures d’ordre professionnel. Le recourant en conclut que l’inadéquation d’un reclassement professionnel lui ouvrirait le droit à la rente entière.</w:t>
      </w:r>
    </w:p>
    <w:p>
      <w:r>
        <w:rPr>
          <w:b/>
        </w:rPr>
        <w:t>E. 5</w:t>
      </w:r>
    </w:p>
    <w:p>
      <w:r>
        <w:t>a) Au terme de son instruction, l’OAI a constaté une pleine capacité de travail du recourant dans une activité adaptée. Bien qu’il n’ait – à tort – pas précisé dans la décision litigieuse les limitations fonctionnelles qu’il tenait pour établies, on comprend qu’il s’agit des restrictions retenues par les Drs M.________ et I.__________ aux termes de leurs avis SMR des 16 février 2015 et 13 mai 2016, à savoir : pas de longues marches ni de longues stations debout, pas de marche en terrain irrégulier, pas d’agenouillements ni accroupissements, pas de port de charges de plus de cinq kilos, pas de mouvements répétitifs des coudes, pas d’usage fréquent d’escaliers et épargne du membre supérieur gauche. b) De nombreux examens ont été pratiqués depuis le dépôt de la demande de prestations, en particulier lors de deux séjours, en 2014 et 2016, auprès de la Clinique romande de réadaptation de la CNA. Les rapports de sortie établis à ces occasions par les spécialistes de la CRR confirment le bien-fondé du constat de l’intimé relatif à une pleine</w:t>
      </w:r>
    </w:p>
    <w:p>
      <w:r>
        <w:t>- 15 - capacité de travail du recourant dans une activité adaptée à ses limitations somatiques. Dans le rapport du 31 juillet 2014, les Drs Y.________ et Z.________ ont attesté une incapacité de travail totale jusqu’au 8 août 2014, avec un bon pronostic de réinsertion dans l’activité professionnelle habituelle de chauffeur-livreur. Les limitations fonctionnelles provisoires portaient sur les longs trajets, la marche sur terrain irrégulier, les mouvements répétitifs des membres inférieurs et le port de lourdes charges. Dans le rapport du 9 février 2017 – qui tient compte des conséquences de la chute dans des escaliers du 18 février 2016 – les Drs H.________ et O.__________ ont estimé que les restrictions fonctionnelles n’étaient pas plus étendues, à l’exception de la mention d’une contre-indication au maintien prolongé d’une position accroupie ou à genoux. La capacité de travail constatée par l’intimé respecte parfaitement ces limitations fonctionnelles. En ce qui concerne les troubles à l’épaule gauche annoncés à l’été 2015 par le nouveau médecin traitant de l’époque (le Dr N.________) le suivi a été assuré par le Dr F.________. Dans son rapport du 14 juillet 2015, ce médecin mentionnait une atteinte (partielle) du sus-épineux gauche sur plus de 50% de son épaisseur et une lésion de type SLAP II, avec un possible geste chirurgical. L’OAI a estimé par la suite que la prise en charge chirurgicale annoncée n’avait pas eu lieu étant admis qu’un tel geste n’aurait de toute manière pas modifié l’exigibilité totale dans une activité adaptée (avis SMR du 13 mai 2016). Cette appréciation doit être partagée. En effet, le Dr F.________ a confirmé à la CNA qu’une artho-IRM récente montrait « une lésion qui est un tout petit peu plus petite que sur l’IRM d’il y a une année mais avec une lésion de type SLAP II C qui, elle est toujours là » (rapport d’arthro-IRM du 14 juillet 2016). En octobre-novembre 2016 à la CRR, en présence d’une arthro-IRM du 7 juillet 2016 qui montrait des lésions inchangées par rapport à l’examen de juillet 2015, il a été tenu compte du diagnostic de douleurs à l’épaule posé par les Drs H.________ et O.__________ dans la fixation des restrictions fonctionnelles, soit en l’occurrence éviter « les ports répétés de charge[s] supérieures à dix kilos ». Le 27 avril 2015, le Dr L.________, spécialiste en chirurgie orthopédique et traumatologie de l’appareil locomoteur, avait déjà fait part d’une gêne dans le soulèvement de charges importantes en raison de la symptomatologie douloureuse</w:t>
      </w:r>
    </w:p>
    <w:p>
      <w:r>
        <w:t>- 16 - persistante au genou droit, à l’épaule gauche et de la région lombaire. Il convient donc d’admettre sur la base de l’ensemble de ces constatations que dans le courant du mois d’août 2014, le recourant avait recouvré une pleine capacité de travail dans une activité adaptée, respectant les limitations somatiques retenues, et qu’il a conservé cette capacité malgré sa chute dans des escaliers en février 2016. Le recourant se réfère à ses médecins, les Drs N.________ et B.________. Les attestations d’incapacité de travail totale établies par le premier nommé pour la période du 17 décembre 2013 au 18 septembre 2015, ne sont pas suffisamment motivées pour mettre sérieusement en doute le constat des spécialistes de la CRR et des médecins du SMR sur ce point. Pour sa part, le Dr B.________ ne pose aucune constatation relative à la capacité résiduelle de travail. Il estime toutefois que l’« accident » du 18 février 2016 a péjoré les séquelles du genou droit et à l’épaule gauche. Un tel raisonnement ne convainc pas. A supposer que l’événement de février 2016 ait pu entraîner une incapacité de travail totale pendant quelques semaines en raison d’épisodes de blocages fréquents (rapport du</w:t>
      </w:r>
    </w:p>
    <w:p>
      <w:r>
        <w:rPr>
          <w:b/>
        </w:rPr>
        <w:t>E. 9</w:t>
      </w:r>
    </w:p>
    <w:p>
      <w:r>
        <w:t>mai 2016 du Dr P.________), celle-ci n’a cependant pas été durable au vu du second rapport des médecins de la CRR. Selon ce document, la seule raison pour laquelle le pronostic est défavorable, en relation avec la reprise du travail dans une activité adaptée depuis l’automne 2016, découle de l’absence de qualification professionnelle chez un patient maîtrisant mal le français. Les problèmes linguistiques tout comme le manque de formation professionnelle constatée sont des facteurs non- médicaux qui sont étrangers à l’invalidité, et dont l’intimé n’a pas à tenir compte pour l’appréciation de cette notion. Enfin, l’incapacité de travail attestée jusqu’au 12 décembre 2016 par les médecins de la CRR ne concerne pas la capacité de travail dans une activité adaptée, mais dans l’activité habituelle. On doit par conséquent admettre qu’une hospitalisation accompagnée d’une incapacité de travail de brève durée n’est pas susceptible de remettre en cause le constat d’une pleine capacité de travail dans une activité adaptée recouvrée dans le courant du mois d’août 2014.</w:t>
      </w:r>
    </w:p>
    <w:p>
      <w:r>
        <w:t>- 17 - 6. Le recourant ne soulève aucun grief relatif au calcul du taux d’invalidité (ou l'évaluation de la capacité résiduelle de gain) tel qu'effectué par l'OAI sur la base notamment des renseignements recueillis auprès de l’ancien employeur et par référence aux valeurs statistiques de l’enquête de l’Office Fédéral de la Statistique (OFS) sur la structure des salaires (ESS), données indexées jusqu'en 2014 (année d’ouverture du droit à la rente ; ATF 128 V 174 consid. 4a). En l’absence de griefs, il n’y a pas lieu de revenir plus avant sur ce calcul qui, vérifié d’office, ne prête pas flanc à la critique. Au vu du degré d’invalidité nul constaté, le recourant ne peut prétendre ni rente ni mesure de réadaptation professionnelle (reclassement). Contrairement à ce que soutient le recourant sur ce dernier point, une incapacité de travail dans l’activité habituelle n’ouvre en principe pas droit, pour un taux d’invalidité très inférieur à 20 %, à des mesures de réadaptation professionnelle (cf. consid. 3c supra). 7. Vu ce qui précède, mal fondé, le recours doit être rejeté et la décision attaquée confirmée.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al. 1bis LAI). b) En l’espèce, compte tenu de l’ampleur de la procédure, les frais de justice doivent être arrêtés à 400 fr. à la charge du recourant (art. 69 aI. 1bis LAI ; art. 49 al. 1 LPA-VD), sans qu’il se justifie d’allouer des dépens dès lors que ce dernier n’obtient pas gain de cause (art. 61 let. g a contrario LPGA ; art. 55 al. 1 LPA-VD). Par ces motifs,</w:t>
      </w:r>
    </w:p>
    <w:p>
      <w:r>
        <w:t>- 18 - la Cour des assurances sociales p r o n o n c e : I. Le recours est rejeté. II. La décision rendue le 14 septembre 2016 par l’Office de l’assurance-invalidité pour le canton de Vaud est confirmée. III. Les frais judiciaires, fixés à 400 fr. (quatre cents francs), sont mis à la charge de X.________. IV. Il n’est pas alloué de dépens. Le président : Le greffier :</w:t>
      </w:r>
    </w:p>
    <w:p>
      <w:r>
        <w:t>- 19 - Du L'arrêt qui précède, dont la rédaction a été approuvée à huis clos, est notifié à : - April Suisse LIS SA (pour X.________),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