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ZD16.042860 vom 20. April 2018</w:t>
      </w:r>
    </w:p>
    <w:p>
      <w:r>
        <w:t>VD Tribunal cantonal, 2018-04-20, FR</w:t>
      </w:r>
    </w:p>
    <w:p>
      <w:r>
        <w:rPr>
          <w:b/>
        </w:rPr>
        <w:t xml:space="preserve">Quelle: </w:t>
      </w:r>
      <w:r>
        <w:t>https://mcp.opencaselaw.ch/entscheid/vd_gerichte_ZD16.042860</w:t>
      </w:r>
    </w:p>
    <w:p>
      <w:r>
        <w:t>FR: VD_GERICHTE ZD16.042860 du 20 avril 2018</w:t>
      </w:r>
    </w:p>
    <w:p>
      <w:r>
        <w:t>IT: VD_GERICHTE ZD16.042860 del 20 aprile 2018</w:t>
      </w:r>
    </w:p>
    <w:p>
      <w:pPr>
        <w:pStyle w:val="Heading2"/>
      </w:pPr>
      <w:r>
        <w:t>Erwägungen</w:t>
      </w:r>
    </w:p>
    <w:p>
      <w:r>
        <w:rPr>
          <w:b/>
        </w:rPr>
        <w:t>E. 1</w:t>
      </w:r>
    </w:p>
    <w:p>
      <w:r>
        <w:t>a) Sous réserve de dérogations expresses, les dispositions de la LPGA (loi fédérale du 6 octobre 2000 sur la partie générale du droit des assurances sociales; RS 830.1) s’appliquent à l’assurance-invalidité (art. 1 al. 1 LAI [loi fédérale du 19 juin 1959 sur l'assurance-invalidité; RS</w:t>
      </w:r>
    </w:p>
    <w:p>
      <w:r>
        <w:t>- 11 - 831.20]).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La décision par laquelle l’assureur accorde ou refuse l’assistance judiciaire pour la procédure administrative en matière d’assurance sociale en vertu de l’art. 37 al. 4 LPGA est une décision d’ordonnancement de la procédure au sens de l’art. 52 al. 1 LPGA (ATF 139 V 600 ; 131 V 153 consid. 1). Elle peut directement être attaquée par la voie du recours devant le tribunal cantonal des assurances (art. 56 al. 1 LPGA). Le recours contre une telle décision incidente est formé devant la Cour des assurances sociales du Tribunal cantonal, conformément à l’art. 74 al. 4 let. a LPA-VD (loi vaudoise du 28 octobre 2008 sur la procédure administrative; RSV 173.36), par renvoi de l’art. 99 LPA-VD, car le refus de l’assistance judiciaire est de nature à causer un « préjudice irréparable » au sens de cette disposition (cf. en droit fédéral, le régime analogue de l’art. 93 al. 1 let. a LTF [loi fédérale du 17 juin 2005 sur le Tribunal fédéral; RS 173.110] et, à ce propos : Corboz/Wurzburger/Ferrari/Frésard/Aubry Girardin, Commentaire de la LTF, 2e éd., 2014, n° 17 ad art. 93 et les références citées). En l'espèce, le recours a été formé en temps utile et dans le respect des formalités prévues par la loi (art. 61 let. b LPGA notamment), de sorte qu’il est recevable. b) La LPA-VD s'applique aux recours et contestations par voie d'action dans le domaine des assurances sociales (art. 2 al. 1 let. c LPA- VD). La Cour des assurances sociales du Tribunal cantonal est compétente pour statuer (art. 93 let. a LPA-VD).</w:t>
      </w:r>
    </w:p>
    <w:p>
      <w:r>
        <w:t>- 12 -</w:t>
      </w:r>
    </w:p>
    <w:p>
      <w:r>
        <w:rPr>
          <w:b/>
        </w:rPr>
        <w:t>E. 2</w:t>
      </w:r>
    </w:p>
    <w:p>
      <w:r>
        <w:t>La recourante conteste, d’une part, le refus de l’assistance juridique au stade de la procédure administrative d’audition et, d’autre part, le refus de rente d’invalidité. La question litigieuse – double par conséquent – est celle de savoir si la recourante a droit à la couverture de ses frais d’avocat au niveau de la procédure administrative et si, compte tenu de son état de santé, elle a droit à une rente d’invalidité entière comme elle y prétend dans son recours.</w:t>
      </w:r>
    </w:p>
    <w:p>
      <w:r>
        <w:rPr>
          <w:b/>
        </w:rPr>
        <w:t>E. 3</w:t>
      </w:r>
    </w:p>
    <w:p>
      <w:r>
        <w:t>Il convient en premier lieu d’examiner le droit de la recourante à bénéficier de l’assistance gratuite d’un avocat à compter du 16 mai 2016, dans le cadre de la procédure d’audition devant l’autorité administrative intimée (cf. art. 57a LAI). a) 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(ATF 131 V 153 consid. 3.1; TF 9C_489/2012 du 18 février 2013 consid. 2 ; Ueli Kieser, ATSG-Kommentar, 3e éd., 2015, n° 27 ad art. 37). Le point de savoir si les conditions de l'assistance sont réalisées doit être examiné à l'aune de critères plus sévères dans la procédure administrative que dans la procédure judiciaire. En effet, l'art. 61 let. f LPGA, applicable à la procédure judiciaire, parle d'accorder l'assistance judiciaire gratuite lorsque les circonstances le « justifient », tandis que l'art. 37 al. 4 LPGA, applicable à la procédure administrative, parle d'accorder l'assistance gratuite d'un conseil juridique lorsque les circonstances « l'exigent » (TF 9C_964/2010 du 30 mai 2011 consid. 3 ; voir aussi TF I 127/07 du 7 janvier 2008 consid. 4.3 ; TFA I 676/04 du 30 mars 2006 consid. 6.2 ; Kieser, op. cit., n° 30 et 35 ad art. 37). b) Selon la jurisprudence, le point de savoir si l'assistance d'un avocat est nécessaire doit être tranché d'après les circonstances concrètes objectives et subjectives. Pratiquement, il faut se demander</w:t>
      </w:r>
    </w:p>
    <w:p>
      <w:r>
        <w:t>- 13 - pour chaque cas particulier si, dans des conditions semblables et dans l'hypothèse où le requérant ne serait pas dans le besoin, l'assistance d'un avocat serait judicieuse, compte tenu du fait que l'intéressé n'a pas lui- même des connaissances juridiques suffisantes et que l'intérêt au prononcé d'un jugement justifierait la charge des frais qui en découlent (ATF 130 I 180 consid. 2 ; TF 8C_297/2008 du 23 septembre 2008 consid.</w:t>
      </w:r>
    </w:p>
    <w:p>
      <w:r>
        <w:rPr>
          <w:b/>
        </w:rPr>
        <w:t>E. 3.1</w:t>
      </w:r>
    </w:p>
    <w:p>
      <w:r>
        <w:t>; TFA I 319/05 du 14 août 2006 consid. 4.2.1). La nécessité de l’assistance d’un avocat ne peut donc être admise d’emblée, mais n’existe que si l’état de fait ou les questions de droit sont complexes au point de l’exiger. La recourante ne possède pas de formation juridique ou médicale pour apprécier la portée des rapports médicaux. Cela correspond toutefois à la situation de la plupart des assurés. En outre, la recourante était suivie par des médecins qui pouvaient la renseigner. Au demeurant, selon la jurisprudence du Tribunal fédéral, le fait pour un assuré de ne pas disposer d’un niveau de formation suffisant pour contester seul une décision de refus de prestations suffit à considérer qu’une assistance est nécessaire, mais ne permet pas de justifier en soi l’assistance d’un avocat comme requis en l’espèce, ce point devant être examiné au regard de la difficulté du point de vue objectif (TF 9C_486/2013 du 2 décembre 2013 consid. 3.2.1, non publié à l’ATF 139 V 600 et TF 9C_105/2007 du 13 novembre 2007 consid. 3.2). Or, force est de constater qu’au regard de la jurisprudence, la cause ne soulève pas de difficultés particulières au stade de la procédure administrative. Dans le cas particulier, le seul fait qu’il existe des rapports médicaux divergents quant à l’état de santé de la recourante ou que la jurisprudence au sujet du caractère incapacitant des pathologies psychiques, qui a encore récemment évolué, soit particulièrement</w:t>
      </w:r>
    </w:p>
    <w:p>
      <w:r>
        <w:t>- 15 - complexe, ne suffit pas à considérer que l’assistance d’un avocat d’office soit indispensable. Comme le relève à juste titre l’intimé dans la décision attaquée, ces questions relèvent principalement de l’appréciation médicale et ne sont pas en soi une source de complexité excessive. Enfin, d’un point de vue procédural, la procédure d’audition ne présente pas de difficultés significatives, en tant qu’elle ne nécessite pas le respect de règles formelles spécifiques. d) En définitive, il y a lieu de retenir que l’assistance d’un avocat n’était pas nécessaire à l’assurée pour défendre ses intérêts devant l’autorité intimée. Il en résulte que l’office AI n’a pas violé le droit fédéral en rejetant la demande d’assistance juridique. Le recours doit en conséquence être rejeté en ce qui concerne ce grief et la décision rendue le 25 août 2016 par l’intimé confirmée.</w:t>
      </w:r>
    </w:p>
    <w:p>
      <w:r>
        <w:rPr>
          <w:b/>
        </w:rPr>
        <w:t>E. 3.2</w:t>
      </w:r>
    </w:p>
    <w:p>
      <w:r>
        <w:t>; TF I 127/07 du 7 janvier 2008 consid. 4.2 et les références citées). L'assistance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oeuvrant au sein d'institutions sociales permet d'inférer que l'assistance d'un avocat n'est ni nécessaire ni indiquée. En règle générale, l'assistance gratuite est nécessaire lorsque la procédure est susceptible d'affecter d'une manière particulièrement grave la situation juridique de l'intéressé. Sinon, une telle nécessité n'existe que lorsqu’à la relative difficulté du cas s'ajoute la complexité de l'état de fait ou des questions de droit, à laquelle le requérant n'est pas apte à faire face seul (ATF 130 I 180 consid. 2.2 et les références citées ; TF 8C_297/2008 du 23 septembre 2008 consid. 3.3).</w:t>
      </w:r>
    </w:p>
    <w:p>
      <w:r>
        <w:t>- 14 - c) En l’occurrence, l’intimé a rejeté la demande d’assistance juridique déposée par la recourante, motif pris que la situation de fait ne soulevait aucun problème particulier et qu’aucune complexité spécifique n’apparaissait s’agissant des questions de droit. Le litige sur le fond porte sur une seconde demande de prestations de l’assurance-invalidité de la recourante. Selon la jurisprudence, un tel litige n’est pas susceptible d’affecter de manière particulièrement grave la situation juridique de l’assuré, mais a en revanche une portée considérable (TF I 127/07 du 7 janvier 2008 consid. 5.2.1 et 9C_105/2007 du 13 novembre 2007 consid.</w:t>
      </w:r>
    </w:p>
    <w:p>
      <w:r>
        <w:rPr>
          <w:b/>
        </w:rPr>
        <w:t>E. 4</w:t>
      </w:r>
    </w:p>
    <w:p>
      <w:r>
        <w:t>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b) En vertu de l’art. 28 al. 2 LAI, l’assuré a droit à un quart de rente s’il est invalide à 40% au moins, à une demi-rente s’il est invalide à</w:t>
      </w:r>
    </w:p>
    <w:p>
      <w:r>
        <w:t>- 16 - 50% au moins, aux trois-quarts d’une rente s’il est invalide à 60% au moins et à une rente entière s’il est invalide à 70% au moins. c) Les atteintes à la santé psychique peuvent, comme les atteintes physiques, entraîner une invalidité au sens de l’art. 4 al. 1 LAI en lien avec l’art. 8 LPGA.</w:t>
      </w:r>
    </w:p>
    <w:p>
      <w:r>
        <w:rPr>
          <w:b/>
        </w:rPr>
        <w:t>E. 5</w:t>
      </w:r>
    </w:p>
    <w:p>
      <w:r>
        <w:t>a)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et 105 V 156 consid. 1 ; TF 8C_761/2014 du 15 octobre 2015 consid. 3.4). b)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avec la référence citée). Un rapport médical ne saurait au demeurant être écarté pour la simple et unique raison qu'il émane du médecin traitant. Cependant, les constatations émanant de médecins consultés par l'assuré doivent être admises avec réserve ; il faut en effet tenir compte du fait que, de par la position de confidents privilégiés que leur confère leur</w:t>
      </w:r>
    </w:p>
    <w:p>
      <w:r>
        <w:t>- 17 -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Pratique VSI 2001 p. 106 consid. 3b/bb et cc).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citées ; TF 9C_803/2013 du 13 février 2014 consid. 3.1). d)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et 9C_268/2011 du 26 juillet 2011 consid. 6.1.2 et la jurisprudence citée). Cela vaut également lorsqu'un ou plusieurs médecins ont émis une opinion divergeant de celle de l'expert (TF 9C_268/2011 précité loc. cit.; TF 9C_615/2015 du 12 janvier 2016 consid. 6.2).</w:t>
      </w:r>
    </w:p>
    <w:p>
      <w:r>
        <w:rPr>
          <w:b/>
        </w:rPr>
        <w:t>E. 6</w:t>
      </w:r>
    </w:p>
    <w:p>
      <w:r>
        <w:t>a) Dans son expertise du 15 septembre 2017, le Dr T.________ a estimé que les trois pathologies psychiques diagnostiquées possédaient</w:t>
      </w:r>
    </w:p>
    <w:p>
      <w:r>
        <w:t>- 18 - un caractère invalidant. Il a retenu une incapacité de travail à hauteur de 60% dès le mois de juin 2009. b) Dans deux arrêts récents (ATF 143 V 418 et ATF 143 V 409), le Tribunal fédéral a modifié sa pratique lors de l’examen du droit à une rente AI en cas de troubles psychiques. Il a considéré que même si la classification diagnostique est médicalement nécessaire et qu’un diagnostic posé selon les règles de l’art est indispensable, ce qui importe le plus est la question des effets fonctionnels d’un trouble sur la capacité de travail (ATF 130 V 418 consid. 6). Le Tribunal fédéral a dressé un parallèle entre la problématique des troubles psychiques et l’évolution récente de la jurisprudence concernant des troubles douloureux sans causes organiques explicables (troubles somatoformes douloureux) et troubles psychosomatiques analogues, développée dans l’ATF 141 V 281. Il a en substance retenu que pour les maladies psychiques, et non seulement dans le cas de troubles somatoformes, le substrat nécessaire à l’administration d’une preuve directe permettant de conclure à une incapacité de travail faisait défaut. L’administration de la preuve doit donc se faire de manière indirecte, à l’aide d’indicateurs (ATF 143 V 418 consid. 7.1 et les références citées). En fonction du tableau clinique, des ajustements devront être faits en conséquence lors de l’évaluation de certains indicateurs. Dans ce contexte, les Lignes directrices de qualité des expertises de psychiatrie d’assurance, établie le 16 juin 2016 par la Société suisse de psychiatrie et de psychothérapie (SSPP), faisant expressément référence à l’arrêt 141 V 281, gardent toute leur pertinence. Compte tenu du principe de proportionnalité, il peut être renoncé à cette méthode d’administration des preuves, lorsque, vu le besoin concret de preuves, une telle administration ne s’avère ni nécessaire, ni adéquate (ATF 143 V 418 consid. 7.1, 409 consid. 4.5.3). Il en résulte que le confinement de la démarche développée dans l’arrêt 141 V 281 aux troubles somatoformes et aux affections psychosomatiques assimilées ne se justifie pas. Une administration des preuves structurées similaire à celle de l’arrêt précité doit dès lors s’appliquer à toutes les maladies psychiques (ATF 143 V 418 consid. 7.2),</w:t>
      </w:r>
    </w:p>
    <w:p>
      <w:r>
        <w:t>- 19 - dont les troubles affectifs et les troubles dépressifs de gravité légère ou moyenne, le critère de la résistance à la thérapie ne pouvant à lui-seul résoudre la question de l’incapacité de travail (ATF 143 V 418 consid. 7.1, 409 consid. 4.4 et 4.5.2). c) Compte tenu de ce qui précède, il se justifie d’examiner les critères d’évaluation développés à l’ATF 141 V 281. Dans cet arrêt, le Tribunal fédéral a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aa) La preuve d’un trouble somatoforme douloureux, et donc désormais de tout trouble psychique, suppose, en premier lieu, que l’atteinte soit diagnostiquée par l’expert selon les règles de l’art, en tenant compte en particulier du critère de gravité inhérent à ce diagnostic et en faisant référence aux limitations fonctionnelles constatées. Une fois le diagnostic posé, la capacité de travail réellement exigible doit être examinée au moyen d’un catalogue d’indicateurs (ATF 141 V 281 consid. 4.1.1). bb) La grille d’évaluation développée dans l’arrêt ATF 141 V 281 comprend un examen du degré de gravité fonctionnel de l’atteinte à la santé (funktioneller Schweregrad),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w:t>
      </w:r>
    </w:p>
    <w:p>
      <w:r>
        <w:t>- 20 -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(ATF 141 V 281 consid. 4.3). cc) La grille d’évaluation de la capacité résiduelle de travail comprend également un examen de la cohérence (Konstitenz)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et dans les autres domaines de la vie. Il est notamment recommandé de faire une comparaison avec le niveau d’activité sociale avant l’atteinte à la santé. Il s’agit également de vérifier si des traitements sont mis à profit ou, au contraire, sont négligés (ATF 141 V 281 consid. 4.4 ; TF 9C_862/2014 du 17 septembre 2015 consid. 3.2).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d) Le Tribunal fédéral a précisé que ce changement de jurisprudence intervenu à l’arrêt 141 V 281 ne justifie pas en soi de retirer</w:t>
      </w:r>
    </w:p>
    <w:p>
      <w:r>
        <w:t>- 21 - toute valeur probante aux expertises rendues à l’aune de l’ancienne jurisprudence. Il y a lieu d’examiner dans chaque cas si les expertises administratives et/ou les expertises judiciaires recueilles, le cas échéant en les mettant en relation avec d’autres rapports médicaux, permettent ou non une appréciation concluante du cas à l’aune des indicateurs déterminants (ATF 141 V 281 consid. 8 ; TF 9C_716/2015 du 30 novembre 2015 consid. 4.1 ; TAF C-1916/2015 du 31 mai 2016 et les références citées). N’étant pas remise en cause par les arrêts publiés aux ATF 143 V 409 et 418, il y a lieu de se tenir à cette jurisprudence.</w:t>
      </w:r>
    </w:p>
    <w:p>
      <w:r>
        <w:rPr>
          <w:b/>
        </w:rPr>
        <w:t>E. 7</w:t>
      </w:r>
    </w:p>
    <w:p>
      <w:r>
        <w:t>a) Daté du 15 septembre 2017, le rapport d’expertise établi par le Dr T.________ possède une anamnèse riche (personnelle, familiale, médicale) et soignée. Il se fonde par ailleurs sur deux examens cliniques complets réalisés les 3 et 5 juillet 2017, des examens de laboratoire du 5 juillet 2017 ainsi qu’un examen neuropsychologique effectué le 22 août 2017. D’excellente facture, la motivation concernant les diagnostics retenus de même que les explications fournies quant à la divergence de position entre l’expert et les médecins ayant examiné la recourante font l’objet de considérations approfondies et minutieuses. Il en va de même s’agissant de l’évaluation de la capacité de travail de cette dernière. b) Cependant, afin de conférer pleine valeur probante à l’expertise judiciaire du 15 septembre 2017, antérieure à la nouvelle jurisprudence du Tribunal fédéral exposée au considérant 6 ci-avant, il reste à déterminer si l’expert a dégagé une appréciation concluante de la capacité de travail de la recourante à la lumière des indicateurs déterminants en l’espèce. aa) En premier lieu, les diagnostics ont été rendus de lege artis par l’expert, en référence à la codification internationale, soit la classification internationale des maladies, 10e révision (CIM-10). Sous l’intitulé « Appréciation finale », l’expert explique de manière fouillée en quoi son analyse diffère de celle de ses confères et les raisons pour lesquelles il n’a pas retenu d’autres pathologies.</w:t>
      </w:r>
    </w:p>
    <w:p>
      <w:r>
        <w:t>- 22 - bb) En ce qui concerne le volet du degré de gravité fonctionnel de l’atteinte à la santé, le Dr T.________ examine les éléments pertinents qui l’ont conduit à poser les diagnostics de trouble phobie sociale (F 40.1), de trouble panique avec agoraphobie (F 40.01) et de trouble dépressif récurrent (épisode actuel sévère, sans symptôme psychotique) (F 33.2). S’agissant du trouble phobique, il a retenu ce qui suit : « Dans le cas présent, l’intéressée rapporte les symptômes d’attaques de panique qui surviendraient plusieurs fois par semaine. Celles-ci comprennent la sensation d’oppression thoracique, de difficultés à respirer, des palpitations et des sudations anormales. Elles sont accompagnées de la cognition caractéristique d’un risque de malaise imminent. L’intéressée dit se coucher préventivement pour éviter une chute. » Quant au trouble dépressif récurrent, il s’est exprimé en ces termes : « Dans le cas présent, on retrouve les symptômes cardinaux d’un épisode dépressif, à savoir la tristesse et la fatigue anormales ainsi que la perte d’intérêt et du plaisir, la plupart du temps, tous les jours et maintenant depuis plusieurs mois. Par ailleurs, on note la diminution de l’estime de soi et des idées de mort récurrentes. L’assurée se plaint aussi de difficultés à penser, à se concentrer et d’oublis. Le sommeil serait perturbé sur toute la nuit. La diminution de l’appétit ne peut pas être retenue ici puisque le poids reste stable. Ce tableau symptomatologique n’est pas en discordance avec la présentation de l’assurée. Mme F.________ est authentiquement triste. Elle est légèrement ralentie. La présentation clinique est bel et bien celle d’un état dépressif. Au vu de ce qui précède, on doit retenir un épisode dépressif. On doit le qualifier de sévère, conformément aux réquisits de la CIM-10 sur ce point. Ce degré de gravité est d’ailleurs corroboré par le score de l’échelle d’évaluation de la dépression du 03.07.2017. » L’expert a également décrit les traitements thérapeutiques auxquels s’est soumise la recourante sur le plan psychiatrique : « L’expertisée dit être prise en soins par le Dr P.________, spécialiste FMH en psychiatrie et psychothérapie à N.________. Elle dit rencontrer ce confrère une fois par mois pour des consultations d’une trentaine de minutes. (…)</w:t>
      </w:r>
    </w:p>
    <w:p>
      <w:r>
        <w:t>- 23 - Mme F.________ est l’objet d’une médication psychotrope de Venlafaxine (antidépresseur) 225 mg par jour, de Lexotanil (tranquillisant) 1,5 mg le soir et de Xanax 0,5 mg en réserve en cas d’attaques de panique. » Il a indiqué qu’il considérait « que le traitement actuel [était] adéquat tant en qualité qu’en quantité » [et qu’il n’avait] « pas de propositions à avancer sur ce plan. » De même, le Dr T.________ a dressé un tableau de la structure de personnalité de la recourante et de ses capacités inhérentes. Il n’a en particulier pas relevé de troubles du langage, le jugement et le raisonnement étant au demeurant parfaitement fonctionnels d’un point de vue neuropsychologique. Tout en constatant que l’intéressée était légèrement ralentie, l’expert a noté que le cours de la pensée était toujours normal, les associations d’idées étaient bonnes et il n’y avait pas d’indices pour un délire ni de signes directs d’hallucinations. Si, de son côté, la neuropsychologue X.________ a fait état de différents troubles notamment s’agissant de la mémoire à court et à long terme, le Dr T.________ a toutefois rapporté que l’assurée était capable de retrouver la chronologie de son histoire personnelle et les années exactes de son parcours professionnel. En ce qui concerne l’existence d’un éventuel trouble de la personnalité, l’expert a indiqué ce suit : « Dans la mesure où l’on retient les diagnostics précités, le soussigné considère qu’il n’y a pas lieu de cumuler un diagnostic de trouble de personnalité. On notera toutefois des traits de personnalité dépendante et évitante qui peuvent contribuer au comportement d’invalide de l’intéressée. On notera aussi des éléments caractériels/dyssociaux qui peuvent induire des problèmes relationnels. Pour le reste, le soussigné s’est posé la question de séquelles de psychose infantile (trouble envahissant du développement). Cette hypothèse n’est pourtant pas étayée par ce qu’on sait de l’anamnèse d’une assurée qui rapporte un développement et une scolarité normaux. Les résultats de l’examen de l’efficience intellectuelle (QI) sont par ailleurs homogènes. On n’y retrouve pas la dysharmonie attendue pour certains troubles psychotiques de l’enfance. » Quant au contexte social, l’expert a mis en évidence les éléments suivants :</w:t>
      </w:r>
    </w:p>
    <w:p>
      <w:r>
        <w:t>- 24 - « Le réseau social serait restreint à la famille nucléaire. L’intéressée dit qu’elle n’a pas d’amis. Elle ne fait pas partie de clubs ou d’associations. » cc) Concernant finalement le critère de la cohérence, particulièrement pertinent dans les cas de troubles psychiques afin de parvenir à une appréciation globale des limitations fonctionnelles, l’expert a mentionné les éléments suivants : « L’intéressée peut s’adapter aux règles et aux routines d’une activité professionnelle, sous certaines conditions. Elle aurait toutefois besoin d’un soutien sur ce plan. Mme F.________ a pu assumer le processus d’expertise qui a été long et qui a nécessité plusieurs rendez-vous (consultations chez le soussigné, examen neuropsychologique, examens de laboratoire). Elle a été apte à mener à terme ce qui devait l’être. L’assurée est par contre très fragile en présence de facteurs de stress et ce même face aux facteurs de stress ordinaires de la vie de tous les jours. Cette fragilité est le sort ordinaire des anxieux phobiques et des sujets présentant une pathologie dépressive récurrente. L’intéressée aurait des difficultés à planifier et à structurer ses tâches dès qu’elles atteindraient un certain niveau de complexité. Elle rencontrerait aussi des problèmes pour apprécier une situation inhabituelle et prendre des décisions appropriées en conséquence. Dans la règle, l’assurée peut s’affirmer plus ou moins adéquatement. Ce n’est pas toujours le cas. Elle peut se montrer irritable et passer à l’acte. Elle a aussi des difficultés lorsqu’elle est en situation sociale et qu’elle est dans un milieu qu’elle ne connaît pas. En raison de sa pathologie dépressive et anxieuse, Mme F.________ est fatigable. Elle relève aussi d’un certain degré d’aboulie. Son rendement en est fortement diminué, quelles que soient les tâches proposées. Il en est de même de l’endurance. L’assurée semble être à même de garder des relations correctes avec ses proches et les gens qu’elle connaît. Elle peut se déplacer, sous certaines conditions. Elle semble autonome pour ses activités de la vie quotidienne, son hygiène et ses soins corporels. » c) Sur le vu de ce qui précède, les répercussions fonctionnelles des troubles psychiques diagnostiqués par le Dr T.________ sur la capacité de travail de la recourante emportent la conviction et sont dépourvues de contradictions. Elles se fondent sur une grille d’indicateurs pertinents dans</w:t>
      </w:r>
    </w:p>
    <w:p>
      <w:r>
        <w:t>- 25 - le cas d’espèce, en accord avec la jurisprudence récente du Tribunal fédéral en la matière. d) Quant aux déterminations de l’office AI du 24 octobre 2017, elles ne font état d’aucun élément objectivement vérifiable qui permettrait de remettre en cause la pertinence de l’expertise réalisée par le Dr T.________. Dans ce contexte, il y a lieu de relever que les quelques éclaircissements souhaités par l’intimé s’agissant des limitations fonctionnelles et du degré de gravité de l’épisode dépressif trouvent en réalité déjà réponse dans les propos et conclusions de l’expert. e) Le rapport d’expertise du Dr T.________ du 15 septembre 2017 satisfait aux réquisits jurisprudentiels résumés ci-avant (cf. considérant 5b ci-dessus) pour se voir conférer pleine valeur probante, ce dont aucune des parties ne disconvient. Fruit d’une analyse fouillée du cas, il rapporte les plaintes exprimées par l’assurée, comporte l’anamnèse circonstanciée de cette dernière et décrit le contexte médical. Reposant sur des examens complets, il contient une appréciation claire de la situation médicale, laquelle débouche sur des conclusions médicales dûment motivées. Celles-ci peuvent donc être suivies. Il y a ainsi lieu de retenir que F.________ présente une capacité de travail de 40% depuis le 22 juin 2009 dans des activités semblables à celles qu’elle a exercées. Dans un tel cas de figure, le taux d’invalidité se confond avec celui de l’incapacité de travail. C’est donc en vain que la recourante tire argument de diverses circonstances personnelles et professionnelles (âge, faible expérience professionnelle, éloignement prolongé du marché du travail, besoin de soutien) pour en déduire des limitations fonctionnelles justifiant une augmentation du taux d’invalidité. Si l'âge de la recourante, les restrictions induites par ses limitations fonctionnelles et son éloignement prolongé du marché du travail peuvent limiter dans une certaine mesure ses possibilités de retrouver un emploi, on ne saurait considérer qu'ils rendent cette perspective illusoire. Le marché du travail offre en effet un large éventail d'activités légères, dont on doit convenir qu'un nombre significatif sont adaptées aux limitations de la recourante et accessibles sans aucune formation particulière. A titre d'exemples, on peut citer des</w:t>
      </w:r>
    </w:p>
    <w:p>
      <w:r>
        <w:t>- 26 - tâches simples de surveillance, de vérification ou de contrôle. Au demeurant, il n’a jamais été question d’une activité exigible uniquement en atelier protégé et le Dr T.________ indique que l’intéressée dispose encore de ressources. Il s’ensuit que la recourante présente un degré d’invalidité de 60%, ouvrant le droit à un trois-quarts de rente. f) S’agissant enfin de la naissance du droit à la rente, le Dr T.________ a retenu, dans son rapport du 15 septembre 2017, que l’incapacité de travail de 60% présentée par l’assurée remontait au 22 juin 2009 et qu’elle est vraisemblablement restée constante depuis lors. Compte tenu du délai d’attente d’une année prévu par l’art. 28 al. 1 let. b LAI, le droit de F.________ à un trois-quarts de rente d’invalidité prend naissance le 1er juin 2010 (cf. art. 29 al. 3 LAI).</w:t>
      </w:r>
    </w:p>
    <w:p>
      <w:r>
        <w:rPr>
          <w:b/>
        </w:rPr>
        <w:t>E. 8</w:t>
      </w:r>
    </w:p>
    <w:p>
      <w:r>
        <w:t>En définitive, il y a lieu d’admettre le recours en tant qu’il porte sur le refus d’une rente d’invalidité et de réformer la décision y afférente du 25 août 2016, en ce sens que F.________ est mise au bénéfice d’un trois-quarts de rente d’invalidité à compter du 1er juin 2010.</w:t>
      </w:r>
    </w:p>
    <w:p>
      <w:r>
        <w:rPr>
          <w:b/>
        </w:rPr>
        <w:t>E. 9</w:t>
      </w:r>
    </w:p>
    <w:p>
      <w:r>
        <w:t>a)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LPA-VD). En l'espèce, compte tenu de l'ampleur de la procédure, les frais de justice doivent être arrêtés à 500 fr. et mis pour 400 fr. à la charge de l’office AI qui succombe sur la question du droit à la rente et pour 100 fr. à la charge de la recourante, qui succombe sur la question de l’assistance juridique. Dans la mesure où cette dernière a été mise au bénéfice de l’assistance judiciaire pour la présente procédure, ces frais sont provisoirement supportés par le canton (cf. art. 122 al. 1 let. b et 123 CPC [code fédéral de procédure civile du 19 décembre 2008 ; RS 272]</w:t>
      </w:r>
    </w:p>
    <w:p>
      <w:r>
        <w:t>- 27 - applicables par renvoi de l'art. 18 al. 5 LPA-VD ; cf. également consid. 9c ci-dessous). b) Obtenant partiellement gain de cause, la recourante, assistée d'une mandataire professionnelle, a par ailleurs droit à des dépens (art. 61 let. g LPGA et 55 al. 1 LPA-VD, applicable sur renvoi de l’art. 99 al. 1 LPA-VD). Selon l’art. 11 TFJDA (tarif des frais judiciaires et des dépens en matière administrative du 28 avril 2015 ; RSV 173.36.5.1), les honoraires sont fixés d’après l’importance et la complexité du litige, sans égard à la valeur litigieuse, et sont en règle générale compris entre 500 et 10'000 francs. En l’espèce, l’importance et la complexité du litige justifient l’allocation d’une indemnité de 2'500 fr. à titre de dépens, portée à la charge de l’intimé. c) Lorsqu'une partie a été mise au bénéfice de l'assistance judiciaire, les frais judiciaires, ainsi qu'une équitable indemnité au conseil juridique désigné d'office pour la procédure, sont supportés par le canton (art. 122 al. 1 let. a et b CPC, applicable par renvoi de l'art. 18 al. 5 LPA- 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La recourante dispose, au titre de l'assistance judiciaire, de la commission d'office d'un avocat, en la personne de Me Kathrin Gruber. Me Gruber a produit le 14 novembre 2017 le relevé des opérations effectuées pour le compte de la recourante. Son activité a été contrôlée au regard de la conduite du procès et rentre globalement dans le cadre de l’accomplissement du mandat confié, de sorte qu'elle doit être arrêtée à 25 heures au tarif horaire de 180 fr. (art. 2 al. 1 let. a RAJ [règlement cantonal vaudois du 7 décembre 2010 sur l'assistance judiciaire en matière civile ; RSV 211.02.3]), à quoi s'ajoutent les débours par 50 fr.,</w:t>
      </w:r>
    </w:p>
    <w:p>
      <w:r>
        <w:t>- 28 - ainsi que la TVA au taux de 8 %, ce qui représente un montant total de 4'914 fr. pour l'ensemble de l'activité déployée dans la présente cause. Cette rémunération n’est que partiellement couverte par les dépens devant être acquittés par l’intimé, de sorte que le solde à hauteur de 2'414 fr. est provisoirement supporté par l’Etat (cf. art. 122 al. 2 CPC, applicable par renvoi de l’art. 18 al. 5 LPA-VD), de la même manière que les frais judiciaires d’un montant de 100 fr. mis à la charge de la recourante (cf. consid. 9a ci-dessus). La recourante est rendue attentive au fait qu'elle sera tenue de rembourser la somme de 2'414 fr. dès qu'elle sera en mesure de le faire en vertu de l’art. 123 al. 1 CPC précité. Il incombera au Service juridique et législatif d’en fixer les modalités (cf.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