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ZD16.041148 vom 5. Dezember 2017</w:t>
      </w:r>
    </w:p>
    <w:p>
      <w:r>
        <w:t>VD Tribunal cantonal, 2017-12-05, FR</w:t>
      </w:r>
    </w:p>
    <w:p>
      <w:r>
        <w:rPr>
          <w:b/>
        </w:rPr>
        <w:t xml:space="preserve">Quelle: </w:t>
      </w:r>
      <w:r>
        <w:t>https://mcp.opencaselaw.ch/entscheid/vd_gerichte_ZD16.041148</w:t>
      </w:r>
    </w:p>
    <w:p>
      <w:r>
        <w:t>FR: VD_GERICHTE ZD16.041148 du 5 décembre 2017</w:t>
      </w:r>
    </w:p>
    <w:p>
      <w:r>
        <w:t>IT: VD_GERICHTE ZD16.041148 del 5 dicembre 2017</w:t>
      </w:r>
    </w:p>
    <w:p>
      <w:pPr>
        <w:pStyle w:val="Heading2"/>
      </w:pPr>
      <w:r>
        <w:t>Erwägungen</w:t>
      </w:r>
    </w:p>
    <w:p>
      <w:r>
        <w:rPr>
          <w:b/>
        </w:rPr>
        <w:t>E. 5</w:t>
      </w:r>
    </w:p>
    <w:p>
      <w:r>
        <w:t>Déficit fonctionnel […] En ce qui concerne l'atteinte à l'intégrité en cas d'acouphènes la table 13 permet de retenir un acouphène léger (il est permanent, unilatéral, modérément perturbant pour le patient sans influence négative dans la vie de tous les jours) [...]. En ce qui concerne les troubles de l'équilibre et les vertiges, selon la table 14, il s'agit d'une atteinte objectivable du système de l'équilibre moyenne avec des troubles subjectifs sévères. Dans ce cas l'atteinte à l'intégrité corporelle est de 25%. [...]</w:t>
      </w:r>
    </w:p>
    <w:p>
      <w:r>
        <w:rPr>
          <w:b/>
        </w:rPr>
        <w:t>E. 6</w:t>
      </w:r>
    </w:p>
    <w:p>
      <w:r>
        <w:t>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Il 464 consid. 4a ; TF 8C_764/2009 du 12 octobre 2009 consid. 3.2 et les références citées ; TF 9C_440/2008 du 5 août 2008) ; une telle manière de procéder ne viole pas le droit d'être entendu (ATF 124 V 90 consid. 4b ; 122 V 157 consid. 1d ; TF 8C_764/2009 du 12 octobre 2009 consid. 3.2 et les références citées). En l'occurrence, les pièces au dossier sont suffisamment probantes pour permettre à la Cour de céans de statuer en toute connaissance de cause et en particulier, il n'apparaît pas que la production d'un nouveau rapport par le Dr S.________ serait susceptible d'entraîner une appréciation divergente de la capacité de travail dans la mesure où celui-ci est consulté depuis le 21 décembre 2016 seulement et ne pourrait donc se prononcer rétrospectivement sur le caractère incapacitant des atteintes litigieuses.</w:t>
      </w:r>
    </w:p>
    <w:p>
      <w:r>
        <w:rPr>
          <w:b/>
        </w:rPr>
        <w:t>E. 7</w:t>
      </w:r>
    </w:p>
    <w:p>
      <w:r>
        <w:t>En définitive, il apparaît que la décision rendue par l'intimé le 26 juin 2014 ne prête pas le flanc à la critique tant en ce qui concerne l'évaluation médicale que s'agissant du calcul du préjudice économique subi. Il s'ensuit que le recours, mal fondé, doit être rejeté et la décision attaquée confirmée.</w:t>
      </w:r>
    </w:p>
    <w:p>
      <w:r>
        <w:rPr>
          <w:b/>
        </w:rPr>
        <w:t>E. 8</w:t>
      </w:r>
    </w:p>
    <w:p>
      <w:r>
        <w:t>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w:t>
      </w:r>
    </w:p>
    <w:p>
      <w:r>
        <w:t>- 36 -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 art. 49 al. 1 LPA- VD). Toutefois, dès lors que le recourant est au bénéfice de l'assistance judiciaire, ces frais sont laissés provisoirement à la charge de l'Etat. Il n'y a au demeurant pas lieu d'allouer de dépens, le recourant n'obtenant pas gain de cause (art. 55 al. 1 LPA-VD ; cf. art. 61 let. g LPGA). b) Le recourant a obtenu, au titre de l'assistance judiciaire, la commission d'office d'un avocat en la personne de Me Alain Ribordy à compter du 11 juillet 2014 jusqu'au terme de la présente procédure (art. 118 al. 1 let. c CPC, applicable par renvoi de l'art. 18 al. 5 LPA-VD). La rémunération de l'avocat d'office est provisoirement supportée par le canton (art. 122 al. 1 let. a CPC, applicable par renvoi de l'art. 18 al. 5 LPA- VD),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Le 14 juillet 2017, Me Ribordy a produit le relevé des opérations effectuées dans le cadre de la présente procédure. Son activité a été contrôlée au regard de la conduite du procès et rentre globalement dans le cadre du mandat confié, de sorte qu’elle doit être arrêtée à 30 heures et 10 minutes au tarif horaire de 180 fr. (art. 2 al. 1 RAJ [règlement cantonal vaudois du 7 décembre 2010 sur l’assistance judiciaire en matière civile ; RSV 211.02.3]), soit 5'430 fr., auxquels s’ajoutent 356 fr.</w:t>
      </w:r>
    </w:p>
    <w:p>
      <w:r>
        <w:t>- 37 - 30 de débours, ce qui représente un montant total en faveur de Me Ribordy de 6'249 fr. 20, TVA au taux de 8% par 462 fr. 90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